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1"/>
        <w:ind w:firstLine="0"/>
        <w:jc w:val="center"/>
        <w:spacing w:line="48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1181"/>
        <w:ind w:firstLine="0"/>
        <w:jc w:val="center"/>
        <w:spacing w:line="48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1181"/>
        <w:ind w:firstLine="0"/>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 xml:space="preserve">竞争性磋商文件</w:t>
      </w:r>
      <w:r/>
    </w:p>
    <w:p>
      <w:pPr>
        <w:pStyle w:val="1181"/>
        <w:ind w:firstLine="0"/>
        <w:spacing w:line="240" w:lineRule="auto"/>
        <w:rPr>
          <w:rFonts w:hint="eastAsia" w:ascii="宋体" w:hAnsi="宋体" w:eastAsia="宋体" w:cs="宋体"/>
          <w:bCs/>
          <w:highlight w:val="none"/>
        </w:rPr>
      </w:pPr>
      <w:r>
        <w:rPr>
          <w:rFonts w:hint="eastAsia" w:ascii="宋体" w:hAnsi="宋体" w:eastAsia="宋体" w:cs="宋体"/>
          <w:bCs/>
          <w:highlight w:val="none"/>
        </w:rPr>
      </w:r>
      <w:r/>
    </w:p>
    <w:p>
      <w:pPr>
        <w:pStyle w:val="1181"/>
        <w:ind w:firstLine="0"/>
        <w:jc w:val="center"/>
        <w:spacing w:line="240" w:lineRule="auto"/>
        <w:rPr>
          <w:rFonts w:hint="eastAsia" w:ascii="宋体" w:hAnsi="宋体" w:eastAsia="宋体" w:cs="宋体"/>
          <w:bCs/>
          <w:highlight w:val="none"/>
        </w:rPr>
      </w:pPr>
      <w:r>
        <w:rPr>
          <w:rFonts w:hint="eastAsia" w:ascii="宋体" w:hAnsi="宋体" w:eastAsia="宋体" w:cs="宋体"/>
          <w:bCs/>
          <w:sz w:val="30"/>
          <w:highlight w:val="none"/>
        </w:rPr>
        <w:t xml:space="preserve">（全流程电子化不见面开标）</w:t>
      </w:r>
      <w:r/>
    </w:p>
    <w:p>
      <w:pPr>
        <w:pStyle w:val="1181"/>
        <w:ind w:firstLine="0"/>
        <w:spacing w:line="240" w:lineRule="auto"/>
        <w:rPr>
          <w:rFonts w:hint="eastAsia" w:ascii="宋体" w:hAnsi="宋体" w:eastAsia="宋体" w:cs="宋体"/>
          <w:bCs/>
          <w:highlight w:val="none"/>
        </w:rPr>
      </w:pPr>
      <w:r>
        <w:rPr>
          <w:rFonts w:hint="eastAsia" w:ascii="宋体" w:hAnsi="宋体" w:eastAsia="宋体" w:cs="宋体"/>
          <w:bCs/>
          <w:highlight w:val="none"/>
        </w:rPr>
      </w:r>
      <w:r/>
    </w:p>
    <w:p>
      <w:pPr>
        <w:pStyle w:val="1181"/>
        <w:ind w:firstLine="0"/>
        <w:spacing w:line="240" w:lineRule="auto"/>
        <w:rPr>
          <w:rFonts w:hint="eastAsia" w:ascii="宋体" w:hAnsi="宋体" w:eastAsia="宋体" w:cs="宋体"/>
          <w:bCs/>
          <w:highlight w:val="none"/>
        </w:rPr>
      </w:pPr>
      <w:r>
        <w:rPr>
          <w:rFonts w:hint="eastAsia" w:ascii="宋体" w:hAnsi="宋体" w:eastAsia="宋体" w:cs="宋体"/>
          <w:bCs/>
          <w:highlight w:val="none"/>
        </w:rPr>
      </w:r>
      <w:r/>
    </w:p>
    <w:p>
      <w:pPr>
        <w:pStyle w:val="1181"/>
        <w:ind w:firstLine="0"/>
        <w:spacing w:line="24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1181"/>
        <w:jc w:val="both"/>
        <w:spacing w:line="360" w:lineRule="auto"/>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rPr>
        <w:t xml:space="preserve">项目名称：</w:t>
      </w:r>
      <w:r>
        <w:rPr>
          <w:rFonts w:hint="eastAsia" w:ascii="宋体" w:hAnsi="宋体" w:cs="宋体"/>
          <w:b/>
          <w:bCs/>
          <w:sz w:val="30"/>
          <w:szCs w:val="30"/>
          <w:highlight w:val="none"/>
          <w:lang w:eastAsia="zh-CN"/>
        </w:rPr>
        <w:t xml:space="preserve">泰兴市宣堡镇光明路维修改造工程</w:t>
      </w:r>
      <w:r/>
    </w:p>
    <w:p>
      <w:pPr>
        <w:pStyle w:val="1181"/>
        <w:jc w:val="both"/>
        <w:spacing w:line="240" w:lineRule="auto"/>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rPr>
        <w:t xml:space="preserve">项目编号：JSZC-321283-TZCX-C2025-0003</w:t>
      </w:r>
      <w:r/>
    </w:p>
    <w:p>
      <w:pPr>
        <w:pStyle w:val="1181"/>
        <w:jc w:val="both"/>
        <w:spacing w:before="0" w:after="0" w:line="360" w:lineRule="exact"/>
        <w:rPr>
          <w:rFonts w:hint="eastAsia" w:ascii="宋体" w:hAnsi="宋体" w:eastAsia="宋体" w:cs="宋体"/>
          <w:highlight w:val="none"/>
        </w:rPr>
      </w:pPr>
      <w:r>
        <w:rPr>
          <w:rFonts w:hint="eastAsia" w:ascii="宋体" w:hAnsi="宋体" w:eastAsia="宋体" w:cs="宋体"/>
          <w:highlight w:val="none"/>
        </w:rPr>
      </w:r>
      <w:r/>
    </w:p>
    <w:p>
      <w:pPr>
        <w:pStyle w:val="1181"/>
        <w:jc w:val="center"/>
        <w:spacing w:before="0" w:after="0" w:line="360" w:lineRule="exact"/>
        <w:rPr>
          <w:rFonts w:hint="eastAsia" w:ascii="宋体" w:hAnsi="宋体" w:eastAsia="宋体" w:cs="宋体"/>
          <w:highlight w:val="none"/>
        </w:rPr>
      </w:pPr>
      <w:r>
        <w:rPr>
          <w:rFonts w:hint="eastAsia" w:ascii="宋体" w:hAnsi="宋体" w:eastAsia="宋体" w:cs="宋体"/>
          <w:highlight w:val="none"/>
        </w:rPr>
      </w:r>
      <w:r/>
    </w:p>
    <w:p>
      <w:pPr>
        <w:pStyle w:val="1181"/>
        <w:jc w:val="center"/>
        <w:spacing w:before="0" w:after="0" w:line="360" w:lineRule="exact"/>
        <w:rPr>
          <w:rFonts w:hint="eastAsia" w:ascii="宋体" w:hAnsi="宋体" w:eastAsia="宋体" w:cs="宋体"/>
          <w:highlight w:val="none"/>
        </w:rPr>
      </w:pPr>
      <w:r>
        <w:rPr>
          <w:rFonts w:hint="eastAsia" w:ascii="宋体" w:hAnsi="宋体" w:eastAsia="宋体" w:cs="宋体"/>
          <w:highlight w:val="none"/>
        </w:rPr>
      </w:r>
      <w:r/>
    </w:p>
    <w:p>
      <w:pPr>
        <w:pStyle w:val="1181"/>
        <w:jc w:val="center"/>
        <w:spacing w:before="0" w:after="0" w:line="360" w:lineRule="exact"/>
        <w:rPr>
          <w:rFonts w:hint="eastAsia" w:ascii="宋体" w:hAnsi="宋体" w:eastAsia="宋体" w:cs="宋体"/>
          <w:highlight w:val="none"/>
        </w:rPr>
      </w:pPr>
      <w:r>
        <w:rPr>
          <w:rFonts w:hint="eastAsia" w:ascii="宋体" w:hAnsi="宋体" w:eastAsia="宋体" w:cs="宋体"/>
          <w:highlight w:val="none"/>
        </w:rPr>
      </w:r>
      <w:r/>
    </w:p>
    <w:p>
      <w:pPr>
        <w:pStyle w:val="1181"/>
        <w:jc w:val="center"/>
        <w:spacing w:before="0" w:after="0" w:line="360" w:lineRule="exact"/>
        <w:rPr>
          <w:rFonts w:hint="eastAsia" w:ascii="宋体" w:hAnsi="宋体" w:eastAsia="宋体" w:cs="宋体"/>
          <w:highlight w:val="none"/>
        </w:rPr>
      </w:pPr>
      <w:r>
        <w:rPr>
          <w:rFonts w:hint="eastAsia" w:ascii="宋体" w:hAnsi="宋体" w:eastAsia="宋体" w:cs="宋体"/>
          <w:highlight w:val="none"/>
        </w:rPr>
      </w:r>
      <w:r/>
    </w:p>
    <w:p>
      <w:pPr>
        <w:pStyle w:val="1181"/>
        <w:jc w:val="center"/>
        <w:spacing w:before="0" w:after="0" w:line="360" w:lineRule="exact"/>
        <w:rPr>
          <w:rFonts w:hint="eastAsia" w:ascii="宋体" w:hAnsi="宋体" w:eastAsia="宋体" w:cs="宋体"/>
          <w:highlight w:val="none"/>
        </w:rPr>
      </w:pPr>
      <w:r>
        <w:rPr>
          <w:rFonts w:hint="eastAsia" w:ascii="宋体" w:hAnsi="宋体" w:eastAsia="宋体" w:cs="宋体"/>
          <w:highlight w:val="none"/>
        </w:rPr>
      </w:r>
      <w:r/>
    </w:p>
    <w:p>
      <w:pPr>
        <w:pStyle w:val="1181"/>
        <w:jc w:val="center"/>
        <w:spacing w:before="0" w:after="0" w:line="360" w:lineRule="exact"/>
        <w:rPr>
          <w:rFonts w:hint="eastAsia" w:ascii="宋体" w:hAnsi="宋体" w:eastAsia="宋体" w:cs="宋体"/>
          <w:highlight w:val="none"/>
        </w:rPr>
      </w:pPr>
      <w:r>
        <w:rPr>
          <w:rFonts w:hint="eastAsia" w:ascii="宋体" w:hAnsi="宋体" w:eastAsia="宋体" w:cs="宋体"/>
          <w:highlight w:val="none"/>
        </w:rPr>
      </w:r>
      <w:r/>
    </w:p>
    <w:p>
      <w:pPr>
        <w:ind w:right="0" w:firstLine="1200"/>
        <w:jc w:val="both"/>
        <w:keepLines w:val="0"/>
        <w:keepNext w:val="0"/>
        <w:pageBreakBefore w:val="0"/>
        <w:spacing w:before="120" w:after="120" w:line="240" w:lineRule="auto"/>
        <w:widowControl w:val="off"/>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lang w:val="en-US" w:eastAsia="zh-CN"/>
        </w:rPr>
        <w:t xml:space="preserve">采   购   人</w:t>
      </w:r>
      <w:r>
        <w:rPr>
          <w:rFonts w:hint="eastAsia" w:ascii="宋体" w:hAnsi="宋体" w:eastAsia="宋体" w:cs="宋体"/>
          <w:b/>
          <w:bCs/>
          <w:sz w:val="30"/>
          <w:szCs w:val="30"/>
          <w:highlight w:val="none"/>
        </w:rPr>
        <w:t xml:space="preserve">：</w:t>
      </w:r>
      <w:r>
        <w:rPr>
          <w:rFonts w:hint="eastAsia" w:ascii="宋体" w:hAnsi="宋体" w:cs="宋体"/>
          <w:b/>
          <w:bCs/>
          <w:sz w:val="30"/>
          <w:szCs w:val="30"/>
          <w:highlight w:val="none"/>
          <w:lang w:eastAsia="zh-CN"/>
        </w:rPr>
        <w:t xml:space="preserve">泰兴市宣堡镇人民政府</w:t>
      </w:r>
      <w:r/>
    </w:p>
    <w:p>
      <w:pPr>
        <w:ind w:right="0" w:firstLine="1200"/>
        <w:jc w:val="both"/>
        <w:keepLines w:val="0"/>
        <w:keepNext w:val="0"/>
        <w:pageBreakBefore w:val="0"/>
        <w:spacing w:before="120" w:after="120" w:line="240" w:lineRule="auto"/>
        <w:widowControl w:val="off"/>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rPr>
        <w:t xml:space="preserve">招标代理机构：</w:t>
      </w:r>
      <w:r>
        <w:rPr>
          <w:rFonts w:hint="eastAsia" w:ascii="宋体" w:hAnsi="宋体" w:cs="宋体"/>
          <w:b/>
          <w:bCs/>
          <w:sz w:val="30"/>
          <w:szCs w:val="30"/>
          <w:highlight w:val="none"/>
          <w:lang w:eastAsia="zh-CN"/>
        </w:rPr>
        <w:t xml:space="preserve">泰州诚兴项目管理有限公司</w:t>
      </w:r>
      <w:r/>
    </w:p>
    <w:p>
      <w:pPr>
        <w:ind w:right="126"/>
        <w:jc w:val="center"/>
        <w:spacing w:line="44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ind w:right="126"/>
        <w:jc w:val="center"/>
        <w:spacing w:line="44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ind w:right="126"/>
        <w:jc w:val="center"/>
        <w:spacing w:line="440" w:lineRule="exact"/>
        <w:rPr>
          <w:rFonts w:hint="eastAsia" w:ascii="宋体" w:hAnsi="宋体" w:eastAsia="宋体" w:cs="宋体"/>
          <w:b/>
          <w:bCs/>
          <w:sz w:val="30"/>
          <w:szCs w:val="30"/>
          <w:highlight w:val="none"/>
        </w:rPr>
        <w:sectPr>
          <w:headerReference w:type="first" r:id="rId9"/>
          <w:footerReference w:type="default" r:id="rId12"/>
          <w:footerReference w:type="even" r:id="rId13"/>
          <w:footnotePr/>
          <w:endnotePr/>
          <w:type w:val="nextPage"/>
          <w:pgSz w:w="11906" w:h="16838" w:orient="portrait"/>
          <w:pgMar w:top="1440" w:right="1531" w:bottom="1440" w:left="1531" w:header="851" w:footer="992" w:gutter="0"/>
          <w:pgNumType w:start="1"/>
          <w:cols w:num="1" w:sep="0" w:space="1701" w:equalWidth="1"/>
          <w:docGrid w:linePitch="360"/>
        </w:sectPr>
      </w:pPr>
      <w:r>
        <w:rPr>
          <w:rFonts w:hint="eastAsia" w:ascii="宋体" w:hAnsi="宋体" w:eastAsia="宋体" w:cs="宋体"/>
          <w:b/>
          <w:bCs/>
          <w:sz w:val="30"/>
          <w:szCs w:val="30"/>
          <w:highlight w:val="none"/>
          <w:lang w:eastAsia="zh-CN"/>
        </w:rPr>
        <w:t xml:space="preserve">202</w:t>
      </w:r>
      <w:r>
        <w:rPr>
          <w:rFonts w:hint="eastAsia" w:ascii="宋体" w:hAnsi="宋体" w:eastAsia="宋体" w:cs="宋体"/>
          <w:b/>
          <w:bCs/>
          <w:sz w:val="30"/>
          <w:szCs w:val="30"/>
          <w:highlight w:val="none"/>
          <w:lang w:val="en-US" w:eastAsia="zh-CN"/>
        </w:rPr>
        <w:t xml:space="preserve">5</w:t>
      </w:r>
      <w:r>
        <w:rPr>
          <w:rFonts w:hint="eastAsia" w:ascii="宋体" w:hAnsi="宋体" w:eastAsia="宋体" w:cs="宋体"/>
          <w:b/>
          <w:bCs/>
          <w:sz w:val="30"/>
          <w:szCs w:val="30"/>
          <w:highlight w:val="none"/>
          <w:lang w:eastAsia="zh-CN"/>
        </w:rPr>
        <w:t xml:space="preserve">年</w:t>
      </w:r>
      <w:bookmarkStart w:id="0" w:name="_Toc468783586"/>
      <w:r/>
      <w:bookmarkStart w:id="1" w:name="_Toc383587456"/>
      <w:r/>
      <w:bookmarkStart w:id="2" w:name="_Toc383625993"/>
      <w:r/>
      <w:bookmarkStart w:id="3" w:name="_Toc426469868"/>
      <w:r/>
      <w:bookmarkStart w:id="4" w:name="_Toc383679746"/>
      <w:r/>
      <w:bookmarkStart w:id="5" w:name="_Toc390099018"/>
      <w:r/>
      <w:bookmarkStart w:id="6" w:name="_Toc383698647"/>
      <w:r/>
      <w:bookmarkStart w:id="7" w:name="_Toc390246905"/>
      <w:r/>
      <w:bookmarkStart w:id="8" w:name="_Toc383623944"/>
      <w:r/>
      <w:bookmarkStart w:id="9" w:name="_Toc390098840"/>
      <w:r/>
      <w:bookmarkStart w:id="10" w:name="_Toc383623672"/>
      <w:r/>
      <w:bookmarkStart w:id="11" w:name="_Toc16938516"/>
      <w:r/>
      <w:bookmarkStart w:id="12" w:name="_Toc382813966"/>
      <w:r/>
      <w:bookmarkStart w:id="13" w:name="_Toc382812472"/>
      <w:r/>
      <w:bookmarkStart w:id="14" w:name="_Toc523127445"/>
      <w:r/>
      <w:bookmarkStart w:id="15" w:name="_Toc20823272"/>
      <w:r/>
      <w:bookmarkStart w:id="16" w:name="_Toc513029200"/>
      <w:r/>
      <w:bookmarkStart w:id="17" w:name="_Toc382813885"/>
      <w:r/>
      <w:bookmarkStart w:id="18" w:name="_Toc479757206"/>
      <w:r>
        <w:rPr>
          <w:rFonts w:hint="eastAsia" w:ascii="宋体" w:hAnsi="宋体" w:cs="宋体"/>
          <w:b/>
          <w:bCs/>
          <w:sz w:val="30"/>
          <w:szCs w:val="30"/>
          <w:highlight w:val="none"/>
          <w:lang w:val="en-US" w:eastAsia="zh-CN"/>
        </w:rPr>
        <w:t xml:space="preserve">12</w:t>
      </w:r>
      <w:r>
        <w:rPr>
          <w:rFonts w:hint="eastAsia" w:ascii="宋体" w:hAnsi="宋体" w:eastAsia="宋体" w:cs="宋体"/>
          <w:b/>
          <w:bCs/>
          <w:sz w:val="30"/>
          <w:szCs w:val="30"/>
          <w:highlight w:val="none"/>
          <w:lang w:val="en-US" w:eastAsia="zh-CN"/>
        </w:rPr>
        <w:t xml:space="preserve">月</w:t>
      </w:r>
      <w:r/>
    </w:p>
    <w:sdt>
      <w:sdtPr>
        <w15:appearance w15:val="boundingBox"/>
        <w15:color w:val="dbdbdb"/>
        <w:id w:val="147461170"/>
        <w:docPartObj>
          <w:docPartGallery w:val="Table of Contents"/>
          <w:docPartUnique w:val="true"/>
        </w:docPartObj>
        <w:rPr>
          <w:rFonts w:hint="eastAsia" w:ascii="宋体" w:hAnsi="宋体" w:eastAsia="宋体" w:cs="宋体"/>
          <w:b/>
          <w:bCs/>
          <w:sz w:val="48"/>
          <w:szCs w:val="56"/>
          <w:highlight w:val="none"/>
          <w:lang w:val="en-US" w:eastAsia="zh-CN" w:bidi="ar-SA"/>
        </w:rPr>
      </w:sdtPr>
      <w:sdtContent>
        <w:p>
          <w:pPr>
            <w:ind w:left="0" w:right="0" w:firstLine="0"/>
            <w:jc w:val="center"/>
            <w:spacing w:before="0" w:after="0" w:line="240" w:lineRule="auto"/>
            <w:rPr>
              <w:rFonts w:hint="eastAsia" w:ascii="宋体" w:hAnsi="宋体" w:eastAsia="宋体" w:cs="宋体"/>
              <w:b/>
              <w:bCs/>
              <w:sz w:val="40"/>
              <w:szCs w:val="40"/>
              <w:highlight w:val="none"/>
            </w:rPr>
          </w:pPr>
          <w:r>
            <w:rPr>
              <w:rFonts w:hint="eastAsia" w:ascii="宋体" w:hAnsi="宋体" w:eastAsia="宋体" w:cs="宋体"/>
              <w:b/>
              <w:bCs/>
              <w:sz w:val="40"/>
              <w:szCs w:val="40"/>
              <w:highlight w:val="none"/>
            </w:rPr>
            <w:t xml:space="preserve">目</w:t>
          </w:r>
          <w:r>
            <w:rPr>
              <w:rFonts w:hint="eastAsia" w:ascii="宋体" w:hAnsi="宋体" w:eastAsia="宋体" w:cs="宋体"/>
              <w:b/>
              <w:bCs/>
              <w:sz w:val="40"/>
              <w:szCs w:val="40"/>
              <w:highlight w:val="none"/>
              <w:lang w:val="en-US" w:eastAsia="zh-CN"/>
            </w:rPr>
            <w:t xml:space="preserve"> </w:t>
          </w:r>
          <w:r>
            <w:rPr>
              <w:rFonts w:hint="eastAsia" w:ascii="宋体" w:hAnsi="宋体" w:eastAsia="宋体" w:cs="宋体"/>
              <w:b/>
              <w:bCs/>
              <w:sz w:val="40"/>
              <w:szCs w:val="40"/>
              <w:highlight w:val="none"/>
            </w:rPr>
            <w:t xml:space="preserve">录</w:t>
          </w:r>
          <w:r/>
        </w:p>
        <w:p>
          <w:pPr>
            <w:pStyle w:val="891"/>
            <w:tabs>
              <w:tab w:val="right" w:pos="8844"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91"/>
            <w:spacing w:line="360" w:lineRule="auto"/>
            <w:tabs>
              <w:tab w:val="right" w:pos="8844" w:leader="dot"/>
            </w:tabs>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TOC \o "1-1" \h \u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HYPERLINK \l _Toc29629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第一章 </w:t>
          </w:r>
          <w:r>
            <w:rPr>
              <w:rFonts w:hint="eastAsia" w:ascii="宋体" w:hAnsi="宋体" w:eastAsia="宋体" w:cs="宋体"/>
              <w:b/>
              <w:bCs w:val="0"/>
              <w:sz w:val="28"/>
              <w:szCs w:val="28"/>
              <w:highlight w:val="none"/>
              <w:lang w:val="en-US" w:eastAsia="zh-CN"/>
            </w:rPr>
            <w:t xml:space="preserve"> </w:t>
          </w:r>
          <w:r>
            <w:rPr>
              <w:rFonts w:hint="eastAsia" w:ascii="宋体" w:hAnsi="宋体" w:eastAsia="宋体" w:cs="宋体"/>
              <w:b/>
              <w:bCs w:val="0"/>
              <w:sz w:val="28"/>
              <w:szCs w:val="28"/>
              <w:highlight w:val="none"/>
            </w:rPr>
            <w:t xml:space="preserve">竞争性磋商公告</w:t>
          </w:r>
          <w:r>
            <w:rPr>
              <w:rFonts w:hint="eastAsia" w:ascii="宋体" w:hAnsi="宋体" w:eastAsia="宋体" w:cs="宋体"/>
              <w:b/>
              <w:bCs w:val="0"/>
              <w:sz w:val="28"/>
              <w:szCs w:val="28"/>
              <w:highlight w:val="none"/>
            </w:rPr>
            <w:tab/>
          </w: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PAGEREF _Toc29629 \h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1</w:t>
          </w:r>
          <w:r>
            <w:rPr>
              <w:rFonts w:hint="eastAsia" w:ascii="宋体" w:hAnsi="宋体" w:eastAsia="宋体" w:cs="宋体"/>
              <w:b/>
              <w:bCs w:val="0"/>
              <w:sz w:val="28"/>
              <w:szCs w:val="28"/>
              <w:highlight w:val="none"/>
            </w:rPr>
            <w:fldChar w:fldCharType="end"/>
          </w:r>
          <w:r>
            <w:rPr>
              <w:rFonts w:hint="eastAsia" w:ascii="宋体" w:hAnsi="宋体" w:eastAsia="宋体" w:cs="宋体"/>
              <w:b/>
              <w:bCs w:val="0"/>
              <w:sz w:val="28"/>
              <w:szCs w:val="28"/>
              <w:highlight w:val="none"/>
            </w:rPr>
            <w:fldChar w:fldCharType="end"/>
          </w:r>
          <w:r/>
        </w:p>
        <w:p>
          <w:pPr>
            <w:pStyle w:val="891"/>
            <w:spacing w:line="360" w:lineRule="auto"/>
            <w:tabs>
              <w:tab w:val="right" w:pos="8844" w:leader="dot"/>
            </w:tabs>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HYPERLINK \l _Toc6112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第</w:t>
          </w:r>
          <w:r>
            <w:rPr>
              <w:rFonts w:hint="eastAsia" w:ascii="宋体" w:hAnsi="宋体" w:eastAsia="宋体" w:cs="宋体"/>
              <w:b/>
              <w:bCs w:val="0"/>
              <w:sz w:val="28"/>
              <w:szCs w:val="28"/>
              <w:highlight w:val="none"/>
              <w:lang w:val="en-US" w:eastAsia="zh-CN"/>
            </w:rPr>
            <w:t xml:space="preserve">二</w:t>
          </w:r>
          <w:r>
            <w:rPr>
              <w:rFonts w:hint="eastAsia" w:ascii="宋体" w:hAnsi="宋体" w:eastAsia="宋体" w:cs="宋体"/>
              <w:b/>
              <w:bCs w:val="0"/>
              <w:sz w:val="28"/>
              <w:szCs w:val="28"/>
              <w:highlight w:val="none"/>
            </w:rPr>
            <w:t xml:space="preserve">章 </w:t>
          </w:r>
          <w:r>
            <w:rPr>
              <w:rFonts w:hint="eastAsia" w:ascii="宋体" w:hAnsi="宋体" w:eastAsia="宋体" w:cs="宋体"/>
              <w:b/>
              <w:bCs w:val="0"/>
              <w:sz w:val="28"/>
              <w:szCs w:val="28"/>
              <w:highlight w:val="none"/>
              <w:lang w:val="en-US" w:eastAsia="zh-CN"/>
            </w:rPr>
            <w:t xml:space="preserve"> 供应商须知</w:t>
          </w:r>
          <w:r>
            <w:rPr>
              <w:rFonts w:hint="eastAsia" w:ascii="宋体" w:hAnsi="宋体" w:eastAsia="宋体" w:cs="宋体"/>
              <w:b/>
              <w:bCs w:val="0"/>
              <w:sz w:val="28"/>
              <w:szCs w:val="28"/>
              <w:highlight w:val="none"/>
            </w:rPr>
            <w:tab/>
          </w: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PAGEREF _Toc6112 \h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5</w:t>
          </w:r>
          <w:r>
            <w:rPr>
              <w:rFonts w:hint="eastAsia" w:ascii="宋体" w:hAnsi="宋体" w:eastAsia="宋体" w:cs="宋体"/>
              <w:b/>
              <w:bCs w:val="0"/>
              <w:sz w:val="28"/>
              <w:szCs w:val="28"/>
              <w:highlight w:val="none"/>
            </w:rPr>
            <w:fldChar w:fldCharType="end"/>
          </w:r>
          <w:r>
            <w:rPr>
              <w:rFonts w:hint="eastAsia" w:ascii="宋体" w:hAnsi="宋体" w:eastAsia="宋体" w:cs="宋体"/>
              <w:b/>
              <w:bCs w:val="0"/>
              <w:sz w:val="28"/>
              <w:szCs w:val="28"/>
              <w:highlight w:val="none"/>
            </w:rPr>
            <w:fldChar w:fldCharType="end"/>
          </w:r>
          <w:r/>
        </w:p>
        <w:p>
          <w:pPr>
            <w:pStyle w:val="891"/>
            <w:spacing w:line="360" w:lineRule="auto"/>
            <w:tabs>
              <w:tab w:val="right" w:pos="8844" w:leader="dot"/>
            </w:tabs>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HYPERLINK \l _Toc9937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第三章</w:t>
          </w:r>
          <w:r>
            <w:rPr>
              <w:rFonts w:hint="eastAsia" w:ascii="宋体" w:hAnsi="宋体" w:eastAsia="宋体" w:cs="宋体"/>
              <w:b/>
              <w:bCs w:val="0"/>
              <w:sz w:val="28"/>
              <w:szCs w:val="28"/>
              <w:highlight w:val="none"/>
              <w:lang w:val="en-US" w:eastAsia="zh-CN"/>
            </w:rPr>
            <w:t xml:space="preserve">  </w:t>
          </w:r>
          <w:r>
            <w:rPr>
              <w:rFonts w:hint="eastAsia" w:ascii="宋体" w:hAnsi="宋体" w:eastAsia="宋体" w:cs="宋体"/>
              <w:b/>
              <w:bCs w:val="0"/>
              <w:sz w:val="28"/>
              <w:szCs w:val="28"/>
              <w:highlight w:val="none"/>
            </w:rPr>
            <w:t xml:space="preserve">竞争性磋商</w:t>
          </w:r>
          <w:r>
            <w:rPr>
              <w:rFonts w:hint="eastAsia" w:ascii="宋体" w:hAnsi="宋体" w:eastAsia="宋体" w:cs="宋体"/>
              <w:b/>
              <w:bCs w:val="0"/>
              <w:sz w:val="28"/>
              <w:szCs w:val="28"/>
              <w:highlight w:val="none"/>
            </w:rPr>
            <w:tab/>
          </w: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PAGEREF _Toc9937 \h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18</w:t>
          </w:r>
          <w:r>
            <w:rPr>
              <w:rFonts w:hint="eastAsia" w:ascii="宋体" w:hAnsi="宋体" w:eastAsia="宋体" w:cs="宋体"/>
              <w:b/>
              <w:bCs w:val="0"/>
              <w:sz w:val="28"/>
              <w:szCs w:val="28"/>
              <w:highlight w:val="none"/>
            </w:rPr>
            <w:fldChar w:fldCharType="end"/>
          </w:r>
          <w:r>
            <w:rPr>
              <w:rFonts w:hint="eastAsia" w:ascii="宋体" w:hAnsi="宋体" w:eastAsia="宋体" w:cs="宋体"/>
              <w:b/>
              <w:bCs w:val="0"/>
              <w:sz w:val="28"/>
              <w:szCs w:val="28"/>
              <w:highlight w:val="none"/>
            </w:rPr>
            <w:fldChar w:fldCharType="end"/>
          </w:r>
          <w:r/>
        </w:p>
        <w:p>
          <w:pPr>
            <w:pStyle w:val="891"/>
            <w:spacing w:line="360" w:lineRule="auto"/>
            <w:tabs>
              <w:tab w:val="right" w:pos="8844" w:leader="dot"/>
            </w:tabs>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HYPERLINK \l _Toc3934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第四章</w:t>
          </w:r>
          <w:r>
            <w:rPr>
              <w:rFonts w:hint="eastAsia" w:ascii="宋体" w:hAnsi="宋体" w:eastAsia="宋体" w:cs="宋体"/>
              <w:b/>
              <w:bCs w:val="0"/>
              <w:sz w:val="28"/>
              <w:szCs w:val="28"/>
              <w:highlight w:val="none"/>
              <w:lang w:val="en-US" w:eastAsia="zh-CN"/>
            </w:rPr>
            <w:t xml:space="preserve">  </w:t>
          </w:r>
          <w:r>
            <w:rPr>
              <w:rFonts w:hint="eastAsia" w:ascii="宋体" w:hAnsi="宋体" w:eastAsia="宋体" w:cs="宋体"/>
              <w:b/>
              <w:bCs w:val="0"/>
              <w:sz w:val="28"/>
              <w:szCs w:val="28"/>
              <w:highlight w:val="none"/>
            </w:rPr>
            <w:t xml:space="preserve">技术标准和要求</w:t>
          </w:r>
          <w:r>
            <w:rPr>
              <w:rFonts w:hint="eastAsia" w:ascii="宋体" w:hAnsi="宋体" w:eastAsia="宋体" w:cs="宋体"/>
              <w:b/>
              <w:bCs w:val="0"/>
              <w:sz w:val="28"/>
              <w:szCs w:val="28"/>
              <w:highlight w:val="none"/>
            </w:rPr>
            <w:tab/>
          </w: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PAGEREF _Toc3934 \h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24</w:t>
          </w:r>
          <w:r>
            <w:rPr>
              <w:rFonts w:hint="eastAsia" w:ascii="宋体" w:hAnsi="宋体" w:eastAsia="宋体" w:cs="宋体"/>
              <w:b/>
              <w:bCs w:val="0"/>
              <w:sz w:val="28"/>
              <w:szCs w:val="28"/>
              <w:highlight w:val="none"/>
            </w:rPr>
            <w:fldChar w:fldCharType="end"/>
          </w:r>
          <w:r>
            <w:rPr>
              <w:rFonts w:hint="eastAsia" w:ascii="宋体" w:hAnsi="宋体" w:eastAsia="宋体" w:cs="宋体"/>
              <w:b/>
              <w:bCs w:val="0"/>
              <w:sz w:val="28"/>
              <w:szCs w:val="28"/>
              <w:highlight w:val="none"/>
            </w:rPr>
            <w:fldChar w:fldCharType="end"/>
          </w:r>
          <w:r/>
        </w:p>
        <w:p>
          <w:pPr>
            <w:pStyle w:val="891"/>
            <w:spacing w:line="360" w:lineRule="auto"/>
            <w:tabs>
              <w:tab w:val="right" w:pos="8844" w:leader="dot"/>
            </w:tabs>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HYPERLINK \l _Toc16203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lang w:val="en-US" w:eastAsia="zh-CN"/>
            </w:rPr>
            <w:t xml:space="preserve">第五章  响应文件的编制及格式</w:t>
          </w:r>
          <w:r>
            <w:rPr>
              <w:rFonts w:hint="eastAsia" w:ascii="宋体" w:hAnsi="宋体" w:eastAsia="宋体" w:cs="宋体"/>
              <w:b/>
              <w:bCs w:val="0"/>
              <w:sz w:val="28"/>
              <w:szCs w:val="28"/>
              <w:highlight w:val="none"/>
            </w:rPr>
            <w:tab/>
          </w: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PAGEREF _Toc16203 \h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28</w:t>
          </w:r>
          <w:r>
            <w:rPr>
              <w:rFonts w:hint="eastAsia" w:ascii="宋体" w:hAnsi="宋体" w:eastAsia="宋体" w:cs="宋体"/>
              <w:b/>
              <w:bCs w:val="0"/>
              <w:sz w:val="28"/>
              <w:szCs w:val="28"/>
              <w:highlight w:val="none"/>
            </w:rPr>
            <w:fldChar w:fldCharType="end"/>
          </w:r>
          <w:r>
            <w:rPr>
              <w:rFonts w:hint="eastAsia" w:ascii="宋体" w:hAnsi="宋体" w:eastAsia="宋体" w:cs="宋体"/>
              <w:b/>
              <w:bCs w:val="0"/>
              <w:sz w:val="28"/>
              <w:szCs w:val="28"/>
              <w:highlight w:val="none"/>
            </w:rPr>
            <w:fldChar w:fldCharType="end"/>
          </w:r>
          <w:r/>
        </w:p>
        <w:p>
          <w:pPr>
            <w:pStyle w:val="891"/>
            <w:spacing w:line="360" w:lineRule="auto"/>
            <w:tabs>
              <w:tab w:val="right" w:pos="8844" w:leader="dot"/>
            </w:tabs>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HYPERLINK \l _Toc13752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lang w:val="en-US" w:eastAsia="zh-CN"/>
            </w:rPr>
            <w:t xml:space="preserve">第六章  合同条款及格式</w:t>
          </w:r>
          <w:r>
            <w:rPr>
              <w:rFonts w:hint="eastAsia" w:ascii="宋体" w:hAnsi="宋体" w:eastAsia="宋体" w:cs="宋体"/>
              <w:b/>
              <w:bCs w:val="0"/>
              <w:sz w:val="28"/>
              <w:szCs w:val="28"/>
              <w:highlight w:val="none"/>
            </w:rPr>
            <w:tab/>
          </w: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PAGEREF _Toc13752 \h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41</w:t>
          </w:r>
          <w:r>
            <w:rPr>
              <w:rFonts w:hint="eastAsia" w:ascii="宋体" w:hAnsi="宋体" w:eastAsia="宋体" w:cs="宋体"/>
              <w:b/>
              <w:bCs w:val="0"/>
              <w:sz w:val="28"/>
              <w:szCs w:val="28"/>
              <w:highlight w:val="none"/>
            </w:rPr>
            <w:fldChar w:fldCharType="end"/>
          </w:r>
          <w:r>
            <w:rPr>
              <w:rFonts w:hint="eastAsia" w:ascii="宋体" w:hAnsi="宋体" w:eastAsia="宋体" w:cs="宋体"/>
              <w:b/>
              <w:bCs w:val="0"/>
              <w:sz w:val="28"/>
              <w:szCs w:val="28"/>
              <w:highlight w:val="none"/>
            </w:rPr>
            <w:fldChar w:fldCharType="end"/>
          </w:r>
          <w:r/>
        </w:p>
        <w:p>
          <w:pPr>
            <w:pStyle w:val="891"/>
            <w:spacing w:line="360" w:lineRule="auto"/>
            <w:tabs>
              <w:tab w:val="right" w:pos="8844" w:leader="dot"/>
            </w:tabs>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spacing w:line="360" w:lineRule="auto"/>
            <w:rPr>
              <w:rFonts w:hint="eastAsia" w:ascii="宋体" w:hAnsi="宋体" w:eastAsia="宋体" w:cs="宋体"/>
              <w:b/>
              <w:bCs w:val="0"/>
              <w:sz w:val="22"/>
              <w:szCs w:val="28"/>
              <w:highlight w:val="none"/>
              <w:lang w:val="en-US" w:eastAsia="zh-CN" w:bidi="ar-SA"/>
            </w:rPr>
          </w:pPr>
          <w:r>
            <w:rPr>
              <w:rFonts w:hint="eastAsia" w:ascii="宋体" w:hAnsi="宋体" w:eastAsia="宋体" w:cs="宋体"/>
              <w:b/>
              <w:bCs w:val="0"/>
              <w:sz w:val="28"/>
              <w:szCs w:val="28"/>
              <w:highlight w:val="none"/>
            </w:rPr>
            <w:fldChar w:fldCharType="end"/>
          </w:r>
          <w:r/>
        </w:p>
      </w:sdtContent>
    </w:sdt>
    <w:p>
      <w:pPr>
        <w:pStyle w:val="884"/>
        <w:spacing w:line="360" w:lineRule="auto"/>
        <w:rPr>
          <w:rFonts w:hint="eastAsia" w:ascii="宋体" w:hAnsi="宋体" w:eastAsia="宋体" w:cs="宋体"/>
          <w:b/>
          <w:bCs w:val="0"/>
          <w:sz w:val="21"/>
          <w:szCs w:val="28"/>
          <w:highlight w:val="none"/>
        </w:rPr>
      </w:pPr>
      <w:r>
        <w:rPr>
          <w:rFonts w:hint="eastAsia" w:ascii="宋体" w:hAnsi="宋体" w:eastAsia="宋体" w:cs="宋体"/>
          <w:b/>
          <w:bCs w:val="0"/>
          <w:sz w:val="21"/>
          <w:szCs w:val="28"/>
          <w:highlight w:val="none"/>
        </w:rPr>
      </w:r>
      <w:r/>
    </w:p>
    <w:p>
      <w:pPr>
        <w:pStyle w:val="1076"/>
        <w:rPr>
          <w:rFonts w:hint="eastAsia" w:ascii="宋体" w:hAnsi="宋体" w:eastAsia="宋体" w:cs="宋体"/>
          <w:highlight w:val="none"/>
        </w:rPr>
      </w:pPr>
      <w:r>
        <w:rPr>
          <w:rFonts w:hint="eastAsia" w:ascii="宋体" w:hAnsi="宋体" w:eastAsia="宋体" w:cs="宋体"/>
          <w:highlight w:val="none"/>
        </w:rPr>
      </w:r>
      <w:r/>
    </w:p>
    <w:p>
      <w:pPr>
        <w:pStyle w:val="1076"/>
        <w:rPr>
          <w:rFonts w:hint="eastAsia" w:ascii="宋体" w:hAnsi="宋体" w:eastAsia="宋体" w:cs="宋体"/>
          <w:highlight w:val="none"/>
        </w:rPr>
        <w:sectPr>
          <w:footerReference w:type="default" r:id="rId14"/>
          <w:footnotePr/>
          <w:endnotePr/>
          <w:type w:val="nextPage"/>
          <w:pgSz w:w="11906" w:h="16838" w:orient="portrait"/>
          <w:pgMar w:top="1440" w:right="1531" w:bottom="1440" w:left="1531" w:header="851" w:footer="992" w:gutter="0"/>
          <w:pgNumType w:start="1"/>
          <w:cols w:num="1" w:sep="0" w:space="1701" w:equalWidth="1"/>
          <w:docGrid w:linePitch="360"/>
        </w:sectPr>
      </w:pPr>
      <w:r>
        <w:rPr>
          <w:rFonts w:hint="eastAsia" w:ascii="宋体" w:hAnsi="宋体" w:eastAsia="宋体" w:cs="宋体"/>
          <w:highlight w:val="none"/>
        </w:rPr>
      </w:r>
      <w:r/>
    </w:p>
    <w:p>
      <w:pPr>
        <w:pStyle w:val="1046"/>
        <w:rPr>
          <w:rFonts w:hint="eastAsia" w:ascii="宋体" w:hAnsi="宋体" w:eastAsia="宋体" w:cs="宋体"/>
          <w:b/>
          <w:bCs/>
          <w:sz w:val="32"/>
          <w:szCs w:val="32"/>
          <w:highlight w:val="none"/>
        </w:rPr>
      </w:pPr>
      <w:r/>
      <w:bookmarkStart w:id="19" w:name="_Toc2792"/>
      <w:r/>
      <w:bookmarkStart w:id="20" w:name="_Toc21618"/>
      <w:r/>
      <w:bookmarkStart w:id="21" w:name="_Toc6661"/>
      <w:r/>
      <w:bookmarkStart w:id="22" w:name="_Toc24282"/>
      <w:r/>
      <w:bookmarkStart w:id="23" w:name="_Toc29629"/>
      <w:r>
        <w:rPr>
          <w:rFonts w:hint="eastAsia" w:ascii="宋体" w:hAnsi="宋体" w:eastAsia="宋体" w:cs="宋体"/>
          <w:b/>
          <w:bCs/>
          <w:sz w:val="32"/>
          <w:szCs w:val="32"/>
          <w:highlight w:val="none"/>
        </w:rPr>
        <w:t xml:space="preserve">第一章 </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竞争性磋商公告</w:t>
      </w:r>
      <w:bookmarkEnd w:id="19"/>
      <w:r/>
      <w:bookmarkEnd w:id="20"/>
      <w:r/>
      <w:bookmarkEnd w:id="21"/>
      <w:r/>
      <w:bookmarkEnd w:id="22"/>
      <w:r/>
      <w:bookmarkEnd w:id="23"/>
      <w:r/>
      <w:r/>
    </w:p>
    <w:p>
      <w:pPr>
        <w:keepLines w:val="0"/>
        <w:keepNext w:val="0"/>
        <w:pageBreakBefore w:val="0"/>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20"/>
        <w:keepLines w:val="0"/>
        <w:keepNext w:val="0"/>
        <w:pageBreakBefore w:val="0"/>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lang w:eastAsia="zh-CN"/>
        </w:rPr>
        <w:t xml:space="preserve">泰兴市宣堡镇光明路维修改造工程JSZC-321283-TZCX-C2025-0003</w:t>
      </w:r>
      <w:r>
        <w:rPr>
          <w:rFonts w:hint="eastAsia" w:ascii="宋体" w:hAnsi="宋体" w:eastAsia="宋体" w:cs="宋体"/>
          <w:sz w:val="24"/>
          <w:szCs w:val="24"/>
          <w:highlight w:val="none"/>
          <w:u w:val="none"/>
          <w:lang w:val="en-US" w:eastAsia="zh-CN"/>
        </w:rPr>
        <w:t xml:space="preserve">采购项目的潜在供应商应在</w:t>
      </w:r>
      <w:r>
        <w:rPr>
          <w:rFonts w:hint="eastAsia" w:ascii="宋体" w:hAnsi="宋体" w:eastAsia="宋体" w:cs="宋体"/>
          <w:sz w:val="24"/>
          <w:szCs w:val="24"/>
          <w:highlight w:val="none"/>
          <w:u w:val="single"/>
          <w:lang w:val="en-US" w:eastAsia="zh-CN"/>
        </w:rPr>
        <w:t xml:space="preserve">“苏采云”政府采购一体化平台</w:t>
      </w:r>
      <w:r>
        <w:rPr>
          <w:rFonts w:hint="eastAsia" w:ascii="宋体" w:hAnsi="宋体" w:eastAsia="宋体" w:cs="宋体"/>
          <w:sz w:val="24"/>
          <w:szCs w:val="24"/>
          <w:highlight w:val="none"/>
          <w:u w:val="none"/>
          <w:lang w:val="en-US" w:eastAsia="zh-CN"/>
        </w:rPr>
        <w:t xml:space="preserve">获取采购文件</w:t>
      </w:r>
      <w:r>
        <w:rPr>
          <w:rFonts w:hint="eastAsia" w:ascii="宋体" w:hAnsi="宋体" w:eastAsia="宋体" w:cs="宋体"/>
          <w:sz w:val="24"/>
          <w:szCs w:val="24"/>
          <w:highlight w:val="none"/>
        </w:rPr>
        <w:t xml:space="preserve">，并于</w:t>
      </w:r>
      <w:r>
        <w:rPr>
          <w:rFonts w:hint="eastAsia" w:ascii="宋体" w:hAnsi="宋体" w:cs="宋体"/>
          <w:sz w:val="24"/>
          <w:szCs w:val="24"/>
          <w:highlight w:val="none"/>
          <w:u w:val="single"/>
          <w:lang w:val="en-US" w:eastAsia="zh-CN"/>
        </w:rPr>
        <w:t xml:space="preserve">2026-01-12 14</w:t>
      </w:r>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u w:val="single"/>
          <w:lang w:val="en-US" w:eastAsia="zh-CN"/>
        </w:rPr>
        <w:t xml:space="preserve">30</w:t>
      </w:r>
      <w:r>
        <w:rPr>
          <w:rFonts w:hint="eastAsia" w:ascii="宋体" w:hAnsi="宋体" w:eastAsia="宋体" w:cs="宋体"/>
          <w:bCs/>
          <w:sz w:val="24"/>
          <w:szCs w:val="24"/>
          <w:highlight w:val="none"/>
          <w:u w:val="none"/>
        </w:rPr>
        <w:t xml:space="preserve">（</w:t>
      </w:r>
      <w:r>
        <w:rPr>
          <w:rFonts w:hint="eastAsia" w:ascii="宋体" w:hAnsi="宋体" w:eastAsia="宋体" w:cs="宋体"/>
          <w:bCs/>
          <w:sz w:val="24"/>
          <w:szCs w:val="24"/>
          <w:highlight w:val="none"/>
        </w:rPr>
        <w:t xml:space="preserve">北京时间）前递交</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sz w:val="24"/>
          <w:szCs w:val="24"/>
          <w:highlight w:val="none"/>
        </w:rPr>
        <w:t xml:space="preserve">。</w:t>
      </w:r>
      <w:r/>
    </w:p>
    <w:p>
      <w:pPr>
        <w:pStyle w:val="1112"/>
        <w:jc w:val="both"/>
        <w:keepLines w:val="0"/>
        <w:keepNext w:val="0"/>
        <w:pageBreakBefore w:val="0"/>
        <w:spacing w:before="0" w:beforeAutospacing="0" w:after="0" w:afterAutospacing="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一、项目基本情况</w:t>
      </w:r>
      <w:r/>
    </w:p>
    <w:p>
      <w:pPr>
        <w:pStyle w:val="1112"/>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项目编号：JSZC-321283-TZCX-C2025-0003</w:t>
      </w:r>
      <w:r/>
    </w:p>
    <w:p>
      <w:pPr>
        <w:pStyle w:val="1112"/>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cs="宋体"/>
          <w:sz w:val="24"/>
          <w:szCs w:val="24"/>
          <w:highlight w:val="none"/>
          <w:lang w:eastAsia="zh-CN"/>
        </w:rPr>
        <w:t xml:space="preserve">泰兴市宣堡镇光明路维修改造工程</w:t>
      </w:r>
      <w:r>
        <w:rPr>
          <w:rFonts w:hint="eastAsia" w:ascii="宋体" w:hAnsi="宋体" w:eastAsia="宋体" w:cs="宋体"/>
          <w:sz w:val="24"/>
          <w:szCs w:val="24"/>
          <w:highlight w:val="none"/>
        </w:rPr>
        <w:t xml:space="preserve">施工</w:t>
      </w:r>
      <w:r/>
    </w:p>
    <w:p>
      <w:pPr>
        <w:pStyle w:val="1112"/>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采购方式：竞争性磋商</w:t>
      </w:r>
      <w:r/>
    </w:p>
    <w:p>
      <w:pPr>
        <w:pStyle w:val="1112"/>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w:t>
      </w:r>
      <w:r>
        <w:rPr>
          <w:rFonts w:hint="eastAsia" w:cs="宋体"/>
          <w:sz w:val="24"/>
          <w:szCs w:val="24"/>
          <w:highlight w:val="none"/>
          <w:lang w:val="en-US" w:eastAsia="zh-CN"/>
        </w:rPr>
        <w:t xml:space="preserve">137.954431</w:t>
      </w:r>
      <w:r>
        <w:rPr>
          <w:rFonts w:hint="eastAsia" w:ascii="宋体" w:hAnsi="宋体" w:eastAsia="宋体" w:cs="宋体"/>
          <w:sz w:val="24"/>
          <w:szCs w:val="24"/>
          <w:highlight w:val="none"/>
        </w:rPr>
        <w:t xml:space="preserve">万元</w:t>
      </w:r>
      <w:r/>
    </w:p>
    <w:p>
      <w:pPr>
        <w:pStyle w:val="1112"/>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最高限价（如有）：</w:t>
      </w:r>
      <w:r>
        <w:rPr>
          <w:rFonts w:hint="eastAsia" w:cs="宋体"/>
          <w:sz w:val="24"/>
          <w:szCs w:val="24"/>
          <w:highlight w:val="none"/>
          <w:lang w:val="en-US" w:eastAsia="zh-CN"/>
        </w:rPr>
        <w:t xml:space="preserve">124.158988</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投标报价不得高于最高限价</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p>
    <w:p>
      <w:pPr>
        <w:pStyle w:val="1112"/>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采购需求：清单中注明的</w:t>
      </w:r>
      <w:r>
        <w:rPr>
          <w:rFonts w:hint="eastAsia" w:cs="宋体"/>
          <w:sz w:val="24"/>
          <w:szCs w:val="24"/>
          <w:highlight w:val="none"/>
          <w:lang w:eastAsia="zh-CN"/>
        </w:rPr>
        <w:t xml:space="preserve">泰兴市宣堡镇光明路维修改造工程</w:t>
      </w:r>
      <w:r>
        <w:rPr>
          <w:rFonts w:hint="eastAsia" w:ascii="宋体" w:hAnsi="宋体" w:eastAsia="宋体" w:cs="宋体"/>
          <w:sz w:val="24"/>
          <w:szCs w:val="24"/>
          <w:highlight w:val="none"/>
        </w:rPr>
        <w:t xml:space="preserve">施工</w:t>
      </w:r>
      <w:r>
        <w:rPr>
          <w:rFonts w:hint="eastAsia" w:ascii="宋体" w:hAnsi="宋体" w:eastAsia="宋体" w:cs="宋体"/>
          <w:sz w:val="24"/>
          <w:szCs w:val="24"/>
          <w:highlight w:val="none"/>
          <w:lang w:eastAsia="zh-CN"/>
        </w:rPr>
        <w:t xml:space="preserve">，具体</w:t>
      </w:r>
      <w:r>
        <w:rPr>
          <w:rFonts w:hint="eastAsia" w:ascii="宋体" w:hAnsi="宋体" w:eastAsia="宋体" w:cs="宋体"/>
          <w:sz w:val="24"/>
          <w:szCs w:val="24"/>
          <w:highlight w:val="none"/>
          <w:lang w:val="en-US" w:eastAsia="zh-CN"/>
        </w:rPr>
        <w:t xml:space="preserve">详见工程量清单</w:t>
      </w:r>
      <w:r>
        <w:rPr>
          <w:rFonts w:hint="eastAsia" w:ascii="宋体" w:hAnsi="宋体" w:eastAsia="宋体" w:cs="宋体"/>
          <w:sz w:val="24"/>
          <w:szCs w:val="24"/>
          <w:highlight w:val="none"/>
        </w:rPr>
        <w:t xml:space="preserve">。</w:t>
      </w:r>
      <w:r/>
    </w:p>
    <w:p>
      <w:pPr>
        <w:pStyle w:val="1112"/>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合同履行期限：</w:t>
      </w:r>
      <w:r>
        <w:rPr>
          <w:rFonts w:hint="eastAsia" w:cs="宋体"/>
          <w:sz w:val="24"/>
          <w:szCs w:val="24"/>
          <w:highlight w:val="none"/>
          <w:lang w:val="en-US" w:eastAsia="zh-CN"/>
        </w:rPr>
        <w:t xml:space="preserve">30</w:t>
      </w:r>
      <w:r>
        <w:rPr>
          <w:rFonts w:hint="eastAsia" w:ascii="宋体" w:hAnsi="宋体" w:eastAsia="宋体" w:cs="宋体"/>
          <w:sz w:val="24"/>
          <w:szCs w:val="24"/>
          <w:highlight w:val="none"/>
          <w:lang w:val="en-US" w:eastAsia="zh-CN"/>
        </w:rPr>
        <w:t xml:space="preserve">日历天</w:t>
      </w:r>
      <w:r>
        <w:rPr>
          <w:rFonts w:hint="eastAsia" w:ascii="宋体" w:hAnsi="宋体" w:eastAsia="宋体" w:cs="宋体"/>
          <w:sz w:val="24"/>
          <w:szCs w:val="24"/>
          <w:highlight w:val="none"/>
        </w:rPr>
        <w:t xml:space="preserve">。</w:t>
      </w:r>
      <w:r/>
    </w:p>
    <w:p>
      <w:pPr>
        <w:pStyle w:val="1112"/>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本项目（是/否）接受联合体：否</w:t>
      </w:r>
      <w:r/>
    </w:p>
    <w:p>
      <w:pPr>
        <w:pStyle w:val="1112"/>
        <w:jc w:val="both"/>
        <w:keepLines w:val="0"/>
        <w:keepNext w:val="0"/>
        <w:pageBreakBefore w:val="0"/>
        <w:spacing w:before="0" w:beforeAutospacing="0" w:after="0" w:afterAutospacing="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二、供应商的资格要求：</w:t>
      </w:r>
      <w:r/>
    </w:p>
    <w:p>
      <w:pPr>
        <w:pStyle w:val="1112"/>
        <w:ind w:firstLine="48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（一）</w:t>
      </w:r>
      <w:r>
        <w:rPr>
          <w:rFonts w:hint="eastAsia" w:ascii="宋体" w:hAnsi="宋体" w:eastAsia="宋体" w:cs="宋体"/>
          <w:sz w:val="24"/>
          <w:szCs w:val="24"/>
          <w:highlight w:val="none"/>
        </w:rPr>
        <w:t xml:space="preserve">满足《中华人民共和国政府采购法》第二十二条规定：</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供应商基本资格条件的承诺（根据供应商提供的承诺函，内容完整且具有法人及法定代表人的印章）。</w:t>
      </w:r>
      <w:r/>
    </w:p>
    <w:p>
      <w:pPr>
        <w:pStyle w:val="1112"/>
        <w:ind w:firstLine="48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sz w:val="24"/>
          <w:szCs w:val="24"/>
          <w:highlight w:val="none"/>
        </w:rPr>
        <w:t xml:space="preserve">落实政府采购政策需满足的资格要求：本项目为专门面向中小企业的项目，供应商应为中小微企业或监狱企业或残疾人福利性单位。</w:t>
      </w:r>
      <w:r/>
    </w:p>
    <w:p>
      <w:pPr>
        <w:pStyle w:val="1112"/>
        <w:ind w:firstLine="48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sz w:val="24"/>
          <w:szCs w:val="24"/>
          <w:highlight w:val="none"/>
        </w:rPr>
        <w:t xml:space="preserve">本项目的特定资格要求：</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（1）具备有效的营业执照；</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具备[市政公用工程施工总承包三级]（含）以上资质，并具有行政主管部门颁发的有效的安全生产许可证</w:t>
      </w:r>
      <w:r>
        <w:rPr>
          <w:rFonts w:hint="eastAsia" w:ascii="宋体" w:hAnsi="宋体" w:eastAsia="宋体" w:cs="宋体"/>
          <w:bCs/>
          <w:sz w:val="24"/>
          <w:szCs w:val="24"/>
          <w:highlight w:val="none"/>
        </w:rPr>
        <w:t xml:space="preserve">；</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拟派的项目负责人必须具备[市政公用工程二级]（含）以上注册建造师资格，且具备主管部门颁发的有效的项目负责人安全生产考核合格证书（B证）且未担任其他在建建设工程项目的项目负责人</w:t>
      </w:r>
      <w:r>
        <w:rPr>
          <w:rFonts w:hint="eastAsia" w:ascii="宋体" w:hAnsi="宋体" w:eastAsia="宋体" w:cs="宋体"/>
          <w:bCs/>
          <w:sz w:val="24"/>
          <w:szCs w:val="24"/>
          <w:highlight w:val="none"/>
          <w:lang w:eastAsia="zh-CN"/>
        </w:rPr>
        <w:t xml:space="preserve">；</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）项目负责人不得同时在两个或者两个以上单位受聘或者执业，仅限于以下情形：</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①同时在两个及以上单位签订劳动合同或交纳社会保险；</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②将本人执（职）业资格证书同时注册在两个及以上单位；</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③在其他单位任职（在投标单位分公司任职不属于在其他单位任职）</w:t>
      </w:r>
      <w:r>
        <w:rPr>
          <w:rFonts w:hint="eastAsia" w:cs="宋体"/>
          <w:bCs/>
          <w:sz w:val="24"/>
          <w:szCs w:val="24"/>
          <w:highlight w:val="none"/>
          <w:lang w:eastAsia="zh-CN"/>
        </w:rPr>
        <w:t xml:space="preserve">。</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注：以上在建工程是指在其他项目担任项目负责人职务。</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）其他：</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①自</w:t>
      </w:r>
      <w:r>
        <w:rPr>
          <w:rFonts w:hint="eastAsia" w:cs="宋体"/>
          <w:bCs/>
          <w:sz w:val="24"/>
          <w:szCs w:val="24"/>
          <w:highlight w:val="none"/>
          <w:u w:val="single"/>
          <w:lang w:val="en-US" w:eastAsia="zh-CN"/>
        </w:rPr>
        <w:t xml:space="preserve">2024</w:t>
      </w:r>
      <w:r>
        <w:rPr>
          <w:rFonts w:hint="eastAsia" w:ascii="宋体" w:hAnsi="宋体" w:eastAsia="宋体" w:cs="宋体"/>
          <w:bCs/>
          <w:sz w:val="24"/>
          <w:szCs w:val="24"/>
          <w:highlight w:val="none"/>
        </w:rPr>
        <w:t xml:space="preserve">年</w:t>
      </w:r>
      <w:r>
        <w:rPr>
          <w:rFonts w:hint="eastAsia" w:cs="宋体"/>
          <w:bCs/>
          <w:sz w:val="24"/>
          <w:szCs w:val="24"/>
          <w:highlight w:val="none"/>
          <w:u w:val="single"/>
          <w:lang w:val="en-US" w:eastAsia="zh-CN"/>
        </w:rPr>
        <w:t xml:space="preserve">1</w:t>
      </w:r>
      <w:r>
        <w:rPr>
          <w:rFonts w:hint="eastAsia" w:ascii="宋体" w:hAnsi="宋体" w:eastAsia="宋体" w:cs="宋体"/>
          <w:bCs/>
          <w:sz w:val="24"/>
          <w:szCs w:val="24"/>
          <w:highlight w:val="none"/>
        </w:rPr>
        <w:t xml:space="preserve">月</w:t>
      </w:r>
      <w:r>
        <w:rPr>
          <w:rFonts w:hint="eastAsia" w:cs="宋体"/>
          <w:bCs/>
          <w:sz w:val="24"/>
          <w:szCs w:val="24"/>
          <w:highlight w:val="none"/>
          <w:u w:val="single"/>
          <w:lang w:val="en-US" w:eastAsia="zh-CN"/>
        </w:rPr>
        <w:t xml:space="preserve">12</w:t>
      </w:r>
      <w:r>
        <w:rPr>
          <w:rFonts w:hint="eastAsia" w:ascii="宋体" w:hAnsi="宋体" w:eastAsia="宋体" w:cs="宋体"/>
          <w:bCs/>
          <w:sz w:val="24"/>
          <w:szCs w:val="24"/>
          <w:highlight w:val="none"/>
        </w:rPr>
        <w:t xml:space="preserve">日起至投标截止时间止，企业和拟派项目负责人没有因串通投标、弄虚作假、以他人名义投标、骗取中标、转包、违法分包受到建设等有关部门行政处罚的；</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②自</w:t>
      </w:r>
      <w:r>
        <w:rPr>
          <w:rFonts w:hint="eastAsia" w:cs="宋体"/>
          <w:bCs/>
          <w:sz w:val="24"/>
          <w:szCs w:val="24"/>
          <w:highlight w:val="none"/>
          <w:u w:val="single"/>
          <w:lang w:val="en-US" w:eastAsia="zh-CN"/>
        </w:rPr>
        <w:t xml:space="preserve">2025</w:t>
      </w:r>
      <w:r>
        <w:rPr>
          <w:rFonts w:hint="eastAsia" w:ascii="宋体" w:hAnsi="宋体" w:eastAsia="宋体" w:cs="宋体"/>
          <w:bCs/>
          <w:sz w:val="24"/>
          <w:szCs w:val="24"/>
          <w:highlight w:val="none"/>
        </w:rPr>
        <w:t xml:space="preserve">年</w:t>
      </w:r>
      <w:r>
        <w:rPr>
          <w:rFonts w:hint="eastAsia" w:cs="宋体"/>
          <w:bCs/>
          <w:sz w:val="24"/>
          <w:szCs w:val="24"/>
          <w:highlight w:val="none"/>
          <w:u w:val="single"/>
          <w:lang w:val="en-US" w:eastAsia="zh-CN"/>
        </w:rPr>
        <w:t xml:space="preserve">1</w:t>
      </w:r>
      <w:r>
        <w:rPr>
          <w:rFonts w:hint="eastAsia" w:ascii="宋体" w:hAnsi="宋体" w:eastAsia="宋体" w:cs="宋体"/>
          <w:bCs/>
          <w:sz w:val="24"/>
          <w:szCs w:val="24"/>
          <w:highlight w:val="none"/>
        </w:rPr>
        <w:t xml:space="preserve">月</w:t>
      </w:r>
      <w:r>
        <w:rPr>
          <w:rFonts w:hint="eastAsia" w:cs="宋体"/>
          <w:bCs/>
          <w:sz w:val="24"/>
          <w:szCs w:val="24"/>
          <w:highlight w:val="none"/>
          <w:u w:val="single"/>
          <w:lang w:val="en-US" w:eastAsia="zh-CN"/>
        </w:rPr>
        <w:t xml:space="preserve">12</w:t>
      </w:r>
      <w:r>
        <w:rPr>
          <w:rFonts w:hint="eastAsia" w:ascii="宋体" w:hAnsi="宋体" w:eastAsia="宋体" w:cs="宋体"/>
          <w:bCs/>
          <w:sz w:val="24"/>
          <w:szCs w:val="24"/>
          <w:highlight w:val="none"/>
        </w:rPr>
        <w:t xml:space="preserve">日起至投标截止时间止，企业没有无正当理由放弃中标资格（不含项目负责人多投多中后放弃）、不与采购人订立合同、拒不提供履约担保情形的；</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③自</w:t>
      </w:r>
      <w:r>
        <w:rPr>
          <w:rFonts w:hint="eastAsia" w:cs="宋体"/>
          <w:bCs/>
          <w:sz w:val="24"/>
          <w:szCs w:val="24"/>
          <w:highlight w:val="none"/>
          <w:u w:val="single"/>
          <w:lang w:val="en-US" w:eastAsia="zh-CN"/>
        </w:rPr>
        <w:t xml:space="preserve">2025</w:t>
      </w:r>
      <w:r>
        <w:rPr>
          <w:rFonts w:hint="eastAsia" w:ascii="宋体" w:hAnsi="宋体" w:eastAsia="宋体" w:cs="宋体"/>
          <w:bCs/>
          <w:sz w:val="24"/>
          <w:szCs w:val="24"/>
          <w:highlight w:val="none"/>
        </w:rPr>
        <w:t xml:space="preserve">年</w:t>
      </w:r>
      <w:r>
        <w:rPr>
          <w:rFonts w:hint="eastAsia" w:cs="宋体"/>
          <w:bCs/>
          <w:sz w:val="24"/>
          <w:szCs w:val="24"/>
          <w:highlight w:val="none"/>
          <w:u w:val="single"/>
          <w:lang w:val="en-US" w:eastAsia="zh-CN"/>
        </w:rPr>
        <w:t xml:space="preserve">10</w:t>
      </w:r>
      <w:r>
        <w:rPr>
          <w:rFonts w:hint="eastAsia" w:ascii="宋体" w:hAnsi="宋体" w:eastAsia="宋体" w:cs="宋体"/>
          <w:bCs/>
          <w:sz w:val="24"/>
          <w:szCs w:val="24"/>
          <w:highlight w:val="none"/>
        </w:rPr>
        <w:t xml:space="preserve">月</w:t>
      </w:r>
      <w:r>
        <w:rPr>
          <w:rFonts w:hint="eastAsia" w:cs="宋体"/>
          <w:bCs/>
          <w:sz w:val="24"/>
          <w:szCs w:val="24"/>
          <w:highlight w:val="none"/>
          <w:u w:val="single"/>
          <w:lang w:val="en-US" w:eastAsia="zh-CN"/>
        </w:rPr>
        <w:t xml:space="preserve">12</w:t>
      </w:r>
      <w:r>
        <w:rPr>
          <w:rFonts w:hint="eastAsia" w:ascii="宋体" w:hAnsi="宋体" w:eastAsia="宋体" w:cs="宋体"/>
          <w:bCs/>
          <w:sz w:val="24"/>
          <w:szCs w:val="24"/>
          <w:highlight w:val="none"/>
        </w:rPr>
        <w:t xml:space="preserve">日起至投标截止时间止，企业没有因拖欠工人工资被招标项目所在地省、市、县（市、区）建设行政主管部门通报批评的；</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供应商</w:t>
      </w:r>
      <w:r>
        <w:rPr>
          <w:rFonts w:hint="eastAsia" w:ascii="宋体" w:hAnsi="宋体" w:eastAsia="宋体" w:cs="宋体"/>
          <w:bCs/>
          <w:sz w:val="24"/>
          <w:szCs w:val="24"/>
          <w:highlight w:val="none"/>
        </w:rPr>
        <w:t xml:space="preserve">为拟派项目负责人缴纳的养老保险或其他证明材料（时间要求：</w:t>
      </w:r>
      <w:r>
        <w:rPr>
          <w:rFonts w:hint="eastAsia" w:cs="宋体"/>
          <w:bCs/>
          <w:sz w:val="24"/>
          <w:szCs w:val="24"/>
          <w:highlight w:val="none"/>
          <w:u w:val="single"/>
          <w:lang w:eastAsia="zh-CN"/>
        </w:rPr>
        <w:t xml:space="preserve">投标截止前当月或上月</w:t>
      </w:r>
      <w:r>
        <w:rPr>
          <w:rFonts w:hint="eastAsia" w:ascii="宋体" w:hAnsi="宋体" w:eastAsia="宋体" w:cs="宋体"/>
          <w:bCs/>
          <w:sz w:val="24"/>
          <w:szCs w:val="24"/>
          <w:highlight w:val="none"/>
        </w:rPr>
        <w:t xml:space="preserve">，证明材料要求：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不超过65岁，且执业资格证书须在供应商注册）提供退休证明、退休后</w:t>
      </w:r>
      <w:r>
        <w:rPr>
          <w:rFonts w:hint="eastAsia" w:ascii="宋体" w:hAnsi="宋体" w:eastAsia="宋体" w:cs="宋体"/>
          <w:sz w:val="24"/>
          <w:szCs w:val="24"/>
          <w:highlight w:val="none"/>
        </w:rPr>
        <w:t xml:space="preserve">供应商</w:t>
      </w:r>
      <w:r>
        <w:rPr>
          <w:rFonts w:hint="eastAsia" w:ascii="宋体" w:hAnsi="宋体" w:eastAsia="宋体" w:cs="宋体"/>
          <w:bCs/>
          <w:sz w:val="24"/>
          <w:szCs w:val="24"/>
          <w:highlight w:val="none"/>
        </w:rPr>
        <w:t xml:space="preserve">与该退休人员签订的劳动合同。</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lang w:eastAsia="zh-CN"/>
        </w:rPr>
        <w:t xml:space="preserve">）未被“信用中国”网站（www.creditchina.gov.cn）列入失信被执行人、重大税收违法案件当事人名单、政府采购严重失信行为记录名单。</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注：3</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）项评审方式为承诺制，如查实供应商在《诚信投标承诺书》中虚假承诺，按弄虚作假处理。</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三、获取采购文件</w:t>
      </w:r>
      <w:r/>
    </w:p>
    <w:p>
      <w:pPr>
        <w:pStyle w:val="1112"/>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获取时间：自磋商文件公告发布之日起5个工作日。</w:t>
      </w:r>
      <w:r/>
    </w:p>
    <w:p>
      <w:pPr>
        <w:pStyle w:val="1112"/>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地点：“苏采云”政府采购一体化平台。</w:t>
      </w:r>
      <w:r/>
    </w:p>
    <w:p>
      <w:pPr>
        <w:pStyle w:val="1112"/>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获取方式：“苏采云”政府采购一体化平台。</w:t>
      </w:r>
      <w:r/>
    </w:p>
    <w:p>
      <w:pPr>
        <w:pStyle w:val="1112"/>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售价：0.00元。</w:t>
      </w:r>
      <w:r/>
    </w:p>
    <w:p>
      <w:pPr>
        <w:pStyle w:val="1112"/>
        <w:ind w:firstLine="525"/>
        <w:jc w:val="both"/>
        <w:keepLines w:val="0"/>
        <w:keepNext w:val="0"/>
        <w:pageBreakBefore w:val="0"/>
        <w:spacing w:before="0" w:beforeAutospacing="0" w:after="0" w:afterAutospacing="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四、提交响应文件截止时间、开标时间和地点</w:t>
      </w:r>
      <w:r/>
    </w:p>
    <w:p>
      <w:pPr>
        <w:pStyle w:val="1112"/>
        <w:ind w:firstLine="48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rPr>
      </w:pPr>
      <w:r>
        <w:rPr>
          <w:rFonts w:hint="eastAsia" w:cs="宋体"/>
          <w:sz w:val="24"/>
          <w:szCs w:val="24"/>
          <w:highlight w:val="none"/>
          <w:u w:val="none"/>
          <w:lang w:val="en-US" w:eastAsia="zh-CN"/>
        </w:rPr>
        <w:t xml:space="preserve">2026</w:t>
      </w:r>
      <w:r>
        <w:rPr>
          <w:rFonts w:hint="eastAsia" w:ascii="宋体" w:hAnsi="宋体" w:eastAsia="宋体" w:cs="宋体"/>
          <w:sz w:val="24"/>
          <w:szCs w:val="24"/>
          <w:highlight w:val="none"/>
          <w:u w:val="none"/>
          <w:lang w:eastAsia="zh-CN"/>
        </w:rPr>
        <w:t xml:space="preserve">年</w:t>
      </w:r>
      <w:r>
        <w:rPr>
          <w:rFonts w:hint="eastAsia" w:cs="宋体"/>
          <w:sz w:val="24"/>
          <w:szCs w:val="24"/>
          <w:highlight w:val="none"/>
          <w:u w:val="none"/>
          <w:lang w:val="en-US" w:eastAsia="zh-CN"/>
        </w:rPr>
        <w:t xml:space="preserve">01</w:t>
      </w:r>
      <w:r>
        <w:rPr>
          <w:rFonts w:hint="eastAsia" w:ascii="宋体" w:hAnsi="宋体" w:eastAsia="宋体" w:cs="宋体"/>
          <w:sz w:val="24"/>
          <w:szCs w:val="24"/>
          <w:highlight w:val="none"/>
          <w:u w:val="none"/>
          <w:lang w:val="en-US" w:eastAsia="zh-CN"/>
        </w:rPr>
        <w:t xml:space="preserve">月</w:t>
      </w:r>
      <w:r>
        <w:rPr>
          <w:rFonts w:hint="eastAsia" w:cs="宋体"/>
          <w:sz w:val="24"/>
          <w:szCs w:val="24"/>
          <w:highlight w:val="none"/>
          <w:u w:val="none"/>
          <w:lang w:val="en-US" w:eastAsia="zh-CN"/>
        </w:rPr>
        <w:t xml:space="preserve">12</w:t>
      </w:r>
      <w:r>
        <w:rPr>
          <w:rFonts w:hint="eastAsia" w:ascii="宋体" w:hAnsi="宋体" w:eastAsia="宋体" w:cs="宋体"/>
          <w:sz w:val="24"/>
          <w:szCs w:val="24"/>
          <w:highlight w:val="none"/>
          <w:u w:val="none"/>
        </w:rPr>
        <w:t xml:space="preserve">日</w:t>
      </w:r>
      <w:r>
        <w:rPr>
          <w:rFonts w:hint="eastAsia" w:cs="宋体"/>
          <w:sz w:val="24"/>
          <w:szCs w:val="24"/>
          <w:highlight w:val="none"/>
          <w:u w:val="none"/>
          <w:lang w:val="en-US" w:eastAsia="zh-CN"/>
        </w:rPr>
        <w:t xml:space="preserve">14</w:t>
      </w:r>
      <w:r>
        <w:rPr>
          <w:rFonts w:hint="eastAsia" w:ascii="宋体" w:hAnsi="宋体" w:eastAsia="宋体" w:cs="宋体"/>
          <w:sz w:val="24"/>
          <w:szCs w:val="24"/>
          <w:highlight w:val="none"/>
          <w:u w:val="none"/>
          <w:lang w:eastAsia="zh-CN"/>
        </w:rPr>
        <w:t xml:space="preserve">时</w:t>
      </w:r>
      <w:r>
        <w:rPr>
          <w:rFonts w:hint="eastAsia" w:cs="宋体"/>
          <w:sz w:val="24"/>
          <w:szCs w:val="24"/>
          <w:highlight w:val="none"/>
          <w:u w:val="none"/>
          <w:lang w:val="en-US" w:eastAsia="zh-CN"/>
        </w:rPr>
        <w:t xml:space="preserve">30</w:t>
      </w:r>
      <w:r>
        <w:rPr>
          <w:rFonts w:hint="eastAsia" w:ascii="宋体" w:hAnsi="宋体" w:eastAsia="宋体" w:cs="宋体"/>
          <w:sz w:val="24"/>
          <w:szCs w:val="24"/>
          <w:highlight w:val="none"/>
          <w:u w:val="none"/>
        </w:rPr>
        <w:t xml:space="preserve">分</w:t>
      </w:r>
      <w:r>
        <w:rPr>
          <w:rFonts w:hint="eastAsia" w:ascii="宋体" w:hAnsi="宋体" w:eastAsia="宋体" w:cs="宋体"/>
          <w:sz w:val="24"/>
          <w:szCs w:val="24"/>
          <w:highlight w:val="none"/>
        </w:rPr>
        <w:t xml:space="preserve">止（北京时间）；</w:t>
      </w:r>
      <w:r/>
    </w:p>
    <w:p>
      <w:pPr>
        <w:pStyle w:val="1112"/>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eastAsia="zh-CN"/>
        </w:rPr>
        <w:t xml:space="preserve">江苏政府采购“苏采云”系统不见面开标大厅</w:t>
      </w:r>
      <w:r>
        <w:rPr>
          <w:rFonts w:hint="eastAsia" w:ascii="宋体" w:hAnsi="宋体" w:eastAsia="宋体" w:cs="宋体"/>
          <w:sz w:val="24"/>
          <w:szCs w:val="24"/>
          <w:highlight w:val="none"/>
        </w:rPr>
        <w:t xml:space="preserve">。</w:t>
      </w:r>
      <w:r/>
    </w:p>
    <w:p>
      <w:pPr>
        <w:pStyle w:val="1112"/>
        <w:ind w:firstLine="525"/>
        <w:jc w:val="both"/>
        <w:keepLines w:val="0"/>
        <w:keepNext w:val="0"/>
        <w:pageBreakBefore w:val="0"/>
        <w:spacing w:before="0" w:beforeAutospacing="0" w:after="0" w:afterAutospacing="0"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五、</w:t>
      </w:r>
      <w:r>
        <w:rPr>
          <w:rFonts w:hint="eastAsia" w:ascii="宋体" w:hAnsi="宋体" w:eastAsia="宋体" w:cs="宋体"/>
          <w:b/>
          <w:bCs/>
          <w:sz w:val="24"/>
          <w:szCs w:val="24"/>
          <w:highlight w:val="none"/>
          <w:lang w:val="en-US" w:eastAsia="zh-CN"/>
        </w:rPr>
        <w:t xml:space="preserve">开启</w:t>
      </w:r>
      <w:r/>
    </w:p>
    <w:p>
      <w:pPr>
        <w:pStyle w:val="1112"/>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rPr>
      </w:pPr>
      <w:r>
        <w:rPr>
          <w:rFonts w:hint="eastAsia" w:cs="宋体"/>
          <w:sz w:val="24"/>
          <w:szCs w:val="24"/>
          <w:highlight w:val="none"/>
          <w:u w:val="none"/>
          <w:lang w:val="en-US" w:eastAsia="zh-CN"/>
        </w:rPr>
        <w:t xml:space="preserve">2026</w:t>
      </w:r>
      <w:r>
        <w:rPr>
          <w:rFonts w:hint="eastAsia" w:ascii="宋体" w:hAnsi="宋体" w:eastAsia="宋体" w:cs="宋体"/>
          <w:sz w:val="24"/>
          <w:szCs w:val="24"/>
          <w:highlight w:val="none"/>
          <w:u w:val="none"/>
          <w:lang w:eastAsia="zh-CN"/>
        </w:rPr>
        <w:t xml:space="preserve">年</w:t>
      </w:r>
      <w:r>
        <w:rPr>
          <w:rFonts w:hint="eastAsia" w:cs="宋体"/>
          <w:sz w:val="24"/>
          <w:szCs w:val="24"/>
          <w:highlight w:val="none"/>
          <w:u w:val="none"/>
          <w:lang w:val="en-US" w:eastAsia="zh-CN"/>
        </w:rPr>
        <w:t xml:space="preserve">01</w:t>
      </w:r>
      <w:r>
        <w:rPr>
          <w:rFonts w:hint="eastAsia" w:ascii="宋体" w:hAnsi="宋体" w:eastAsia="宋体" w:cs="宋体"/>
          <w:sz w:val="24"/>
          <w:szCs w:val="24"/>
          <w:highlight w:val="none"/>
          <w:u w:val="none"/>
          <w:lang w:val="en-US" w:eastAsia="zh-CN"/>
        </w:rPr>
        <w:t xml:space="preserve">月</w:t>
      </w:r>
      <w:r>
        <w:rPr>
          <w:rFonts w:hint="eastAsia" w:cs="宋体"/>
          <w:sz w:val="24"/>
          <w:szCs w:val="24"/>
          <w:highlight w:val="none"/>
          <w:u w:val="none"/>
          <w:lang w:val="en-US" w:eastAsia="zh-CN"/>
        </w:rPr>
        <w:t xml:space="preserve">12</w:t>
      </w:r>
      <w:r>
        <w:rPr>
          <w:rFonts w:hint="eastAsia" w:ascii="宋体" w:hAnsi="宋体" w:eastAsia="宋体" w:cs="宋体"/>
          <w:sz w:val="24"/>
          <w:szCs w:val="24"/>
          <w:highlight w:val="none"/>
          <w:u w:val="none"/>
        </w:rPr>
        <w:t xml:space="preserve">日</w:t>
      </w:r>
      <w:r>
        <w:rPr>
          <w:rFonts w:hint="eastAsia" w:cs="宋体"/>
          <w:sz w:val="24"/>
          <w:szCs w:val="24"/>
          <w:highlight w:val="none"/>
          <w:u w:val="none"/>
          <w:lang w:val="en-US" w:eastAsia="zh-CN"/>
        </w:rPr>
        <w:t xml:space="preserve">14</w:t>
      </w:r>
      <w:r>
        <w:rPr>
          <w:rFonts w:hint="eastAsia" w:ascii="宋体" w:hAnsi="宋体" w:eastAsia="宋体" w:cs="宋体"/>
          <w:sz w:val="24"/>
          <w:szCs w:val="24"/>
          <w:highlight w:val="none"/>
          <w:u w:val="none"/>
          <w:lang w:eastAsia="zh-CN"/>
        </w:rPr>
        <w:t xml:space="preserve">时</w:t>
      </w:r>
      <w:r>
        <w:rPr>
          <w:rFonts w:hint="eastAsia" w:cs="宋体"/>
          <w:sz w:val="24"/>
          <w:szCs w:val="24"/>
          <w:highlight w:val="none"/>
          <w:u w:val="none"/>
          <w:lang w:val="en-US" w:eastAsia="zh-CN"/>
        </w:rPr>
        <w:t xml:space="preserve">30</w:t>
      </w:r>
      <w:r>
        <w:rPr>
          <w:rFonts w:hint="eastAsia" w:ascii="宋体" w:hAnsi="宋体" w:eastAsia="宋体" w:cs="宋体"/>
          <w:sz w:val="24"/>
          <w:szCs w:val="24"/>
          <w:highlight w:val="none"/>
          <w:u w:val="none"/>
        </w:rPr>
        <w:t xml:space="preserve">分</w:t>
      </w:r>
      <w:r>
        <w:rPr>
          <w:rFonts w:hint="eastAsia" w:ascii="宋体" w:hAnsi="宋体" w:eastAsia="宋体" w:cs="宋体"/>
          <w:sz w:val="24"/>
          <w:szCs w:val="24"/>
          <w:highlight w:val="none"/>
        </w:rPr>
        <w:t xml:space="preserve">止（北京时间）；</w:t>
      </w:r>
      <w:r/>
    </w:p>
    <w:p>
      <w:pPr>
        <w:pStyle w:val="1112"/>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eastAsia="zh-CN"/>
        </w:rPr>
        <w:t xml:space="preserve">江苏政府采购“苏采云”系统不见面开标大厅</w:t>
      </w:r>
      <w:r>
        <w:rPr>
          <w:rFonts w:hint="eastAsia" w:ascii="宋体" w:hAnsi="宋体" w:eastAsia="宋体" w:cs="宋体"/>
          <w:sz w:val="24"/>
          <w:szCs w:val="24"/>
          <w:highlight w:val="none"/>
        </w:rPr>
        <w:t xml:space="preserve">。</w:t>
      </w:r>
      <w:r/>
    </w:p>
    <w:p>
      <w:pPr>
        <w:pStyle w:val="1112"/>
        <w:ind w:firstLine="525"/>
        <w:jc w:val="both"/>
        <w:keepLines w:val="0"/>
        <w:keepNext w:val="0"/>
        <w:pageBreakBefore w:val="0"/>
        <w:spacing w:before="0" w:beforeAutospacing="0" w:after="0" w:afterAutospacing="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公告期限</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pStyle w:val="1112"/>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其他补充事宜</w:t>
      </w:r>
      <w:r/>
    </w:p>
    <w:p>
      <w:pPr>
        <w:pStyle w:val="1112"/>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保证金：</w:t>
      </w:r>
      <w:r>
        <w:rPr>
          <w:rFonts w:hint="eastAsia" w:ascii="宋体" w:hAnsi="宋体" w:eastAsia="宋体" w:cs="宋体"/>
          <w:sz w:val="24"/>
          <w:szCs w:val="24"/>
          <w:highlight w:val="none"/>
          <w:lang w:val="en-US" w:eastAsia="zh-CN"/>
        </w:rPr>
        <w:t xml:space="preserve">本项目不收取磋商保证金</w:t>
      </w:r>
      <w:r/>
    </w:p>
    <w:p>
      <w:pPr>
        <w:pStyle w:val="1112"/>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2.公告发布媒介：江苏政府采购网（www.ccgp-jiangsu.gov.cn）</w:t>
      </w:r>
      <w:r/>
    </w:p>
    <w:p>
      <w:pPr>
        <w:pStyle w:val="1112"/>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3.现场踏勘：潜在供应商自行踏勘。（请各潜在供应商对项目现场进行自主踏勘，未现场踏勘和未提出疑义的潜在供应商被视为已踏勘，认同采购项目要求的内容，由此造成的后果由潜在供应商负责）</w:t>
      </w:r>
      <w:r/>
    </w:p>
    <w:p>
      <w:pPr>
        <w:pStyle w:val="1112"/>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注意事项：</w:t>
      </w:r>
      <w:r/>
    </w:p>
    <w:p>
      <w:pPr>
        <w:pStyle w:val="1112"/>
        <w:ind w:firstLine="525"/>
        <w:jc w:val="both"/>
        <w:keepLines w:val="0"/>
        <w:keepNext w:val="0"/>
        <w:pageBreakBefore w:val="0"/>
        <w:spacing w:before="0" w:beforeAutospacing="0" w:after="0" w:afterAutospacing="0" w:line="360" w:lineRule="auto"/>
        <w:widowControl/>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（1）根据省财政厅《关</w:t>
      </w:r>
      <w:r>
        <w:rPr>
          <w:rFonts w:hint="eastAsia" w:ascii="宋体" w:hAnsi="宋体" w:eastAsia="宋体" w:cs="宋体"/>
          <w:b/>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p>
    <w:p>
      <w:pPr>
        <w:pStyle w:val="1112"/>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pStyle w:val="1112"/>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（3）有关本次</w:t>
      </w:r>
      <w:r>
        <w:rPr>
          <w:rFonts w:hint="eastAsia" w:ascii="宋体" w:hAnsi="宋体" w:eastAsia="宋体" w:cs="宋体"/>
          <w:b/>
          <w:bCs/>
          <w:sz w:val="24"/>
          <w:szCs w:val="24"/>
          <w:highlight w:val="none"/>
          <w:lang w:val="en-US" w:eastAsia="zh-CN"/>
        </w:rPr>
        <w:t xml:space="preserve">采购</w:t>
      </w:r>
      <w:r>
        <w:rPr>
          <w:rFonts w:hint="eastAsia" w:ascii="宋体" w:hAnsi="宋体" w:eastAsia="宋体" w:cs="宋体"/>
          <w:b/>
          <w:bCs/>
          <w:sz w:val="24"/>
          <w:szCs w:val="24"/>
          <w:highlight w:val="none"/>
        </w:rPr>
        <w:t xml:space="preserve">的事项若存在变动或修改，敬请及时关注“江苏政府采购网”发布的更正公告。</w:t>
      </w:r>
      <w:r/>
    </w:p>
    <w:p>
      <w:pPr>
        <w:pStyle w:val="1112"/>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（4）在磋商结束前，各供应商授权代表应保持手机畅通，以便及时澄清答疑</w:t>
      </w:r>
      <w:r>
        <w:rPr>
          <w:rFonts w:hint="eastAsia" w:ascii="宋体" w:hAnsi="宋体" w:eastAsia="宋体" w:cs="宋体"/>
          <w:b/>
          <w:bCs/>
          <w:sz w:val="24"/>
          <w:szCs w:val="24"/>
          <w:highlight w:val="none"/>
          <w:lang w:eastAsia="zh-CN"/>
        </w:rPr>
        <w:t xml:space="preserve">。</w:t>
      </w:r>
      <w:r/>
    </w:p>
    <w:p>
      <w:pPr>
        <w:pStyle w:val="1112"/>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如潜在投标人未按上述要求操作，将自行承担所产生的风险。</w:t>
      </w:r>
      <w:r/>
    </w:p>
    <w:p>
      <w:pPr>
        <w:pStyle w:val="1112"/>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八、</w:t>
      </w:r>
      <w:r>
        <w:rPr>
          <w:rFonts w:hint="eastAsia" w:ascii="宋体" w:hAnsi="宋体" w:eastAsia="宋体" w:cs="宋体"/>
          <w:sz w:val="24"/>
          <w:szCs w:val="24"/>
          <w:highlight w:val="none"/>
        </w:rPr>
        <w:t xml:space="preserve">对本次招标提出询问，请按以下方式联系。</w:t>
      </w:r>
      <w:r/>
    </w:p>
    <w:p>
      <w:pPr>
        <w:pStyle w:val="1112"/>
        <w:ind w:firstLine="56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pStyle w:val="1112"/>
        <w:ind w:firstLine="56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称：</w:t>
      </w:r>
      <w:r>
        <w:rPr>
          <w:rFonts w:hint="eastAsia" w:cs="宋体"/>
          <w:sz w:val="24"/>
          <w:szCs w:val="24"/>
          <w:highlight w:val="none"/>
          <w:lang w:eastAsia="zh-CN"/>
        </w:rPr>
        <w:t xml:space="preserve">泰兴市宣堡镇人民政府</w:t>
      </w:r>
      <w:r/>
    </w:p>
    <w:p>
      <w:pPr>
        <w:pStyle w:val="1112"/>
        <w:ind w:firstLine="560"/>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址：</w:t>
      </w:r>
      <w:r>
        <w:rPr>
          <w:rFonts w:hint="eastAsia" w:ascii="宋体" w:hAnsi="宋体" w:eastAsia="宋体" w:cs="宋体"/>
          <w:sz w:val="24"/>
          <w:szCs w:val="24"/>
          <w:highlight w:val="none"/>
          <w:lang w:eastAsia="zh-CN"/>
        </w:rPr>
        <w:t xml:space="preserve">泰兴市</w:t>
      </w:r>
      <w:r>
        <w:rPr>
          <w:rFonts w:hint="eastAsia" w:cs="宋体"/>
          <w:sz w:val="24"/>
          <w:szCs w:val="24"/>
          <w:highlight w:val="none"/>
          <w:lang w:eastAsia="zh-CN"/>
        </w:rPr>
        <w:t xml:space="preserve">宣堡镇</w:t>
      </w:r>
      <w:r/>
    </w:p>
    <w:p>
      <w:pPr>
        <w:pStyle w:val="1112"/>
        <w:ind w:firstLine="56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cs="宋体"/>
          <w:sz w:val="24"/>
          <w:szCs w:val="24"/>
          <w:highlight w:val="none"/>
          <w:lang w:eastAsia="zh-CN"/>
        </w:rPr>
        <w:t xml:space="preserve">18796760396</w:t>
      </w:r>
      <w:r/>
    </w:p>
    <w:p>
      <w:pPr>
        <w:pStyle w:val="1112"/>
        <w:ind w:firstLine="56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称：</w:t>
      </w:r>
      <w:r>
        <w:rPr>
          <w:rFonts w:hint="eastAsia" w:cs="宋体"/>
          <w:sz w:val="24"/>
          <w:szCs w:val="24"/>
          <w:highlight w:val="none"/>
          <w:lang w:eastAsia="zh-CN"/>
        </w:rPr>
        <w:t xml:space="preserve">泰州诚兴项目管理有限公司</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址：</w:t>
      </w:r>
      <w:r>
        <w:rPr>
          <w:rFonts w:hint="eastAsia" w:cs="宋体"/>
          <w:sz w:val="24"/>
          <w:szCs w:val="24"/>
          <w:highlight w:val="none"/>
          <w:lang w:eastAsia="zh-CN"/>
        </w:rPr>
        <w:t xml:space="preserve">泰兴市城东高新区戴王路</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cs="宋体"/>
          <w:sz w:val="24"/>
          <w:szCs w:val="24"/>
          <w:highlight w:val="none"/>
          <w:lang w:eastAsia="zh-CN"/>
        </w:rPr>
        <w:t xml:space="preserve">15190618222</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cs="宋体"/>
          <w:sz w:val="24"/>
          <w:szCs w:val="24"/>
          <w:highlight w:val="none"/>
          <w:lang w:val="en-US" w:eastAsia="zh-CN"/>
        </w:rPr>
        <w:t xml:space="preserve">李扬</w:t>
      </w:r>
      <w:r/>
    </w:p>
    <w:p>
      <w:pPr>
        <w:pStyle w:val="1112"/>
        <w:ind w:firstLine="560"/>
        <w:jc w:val="both"/>
        <w:keepLines w:val="0"/>
        <w:keepNext w:val="0"/>
        <w:pageBreakBefore w:val="0"/>
        <w:spacing w:before="0" w:beforeAutospacing="0" w:after="0" w:afterAutospacing="0" w:line="360" w:lineRule="auto"/>
        <w:rPr>
          <w:rFonts w:hint="eastAsia" w:ascii="宋体" w:hAnsi="宋体" w:eastAsia="宋体" w:cs="宋体"/>
          <w:sz w:val="21"/>
          <w:szCs w:val="21"/>
          <w:highlight w:val="none"/>
          <w:lang w:eastAsia="zh-CN"/>
        </w:rPr>
      </w:pPr>
      <w:r>
        <w:rPr>
          <w:rFonts w:hint="eastAsia" w:ascii="宋体" w:hAnsi="宋体" w:eastAsia="宋体" w:cs="宋体"/>
          <w:sz w:val="24"/>
          <w:szCs w:val="24"/>
          <w:highlight w:val="none"/>
        </w:rPr>
        <w:t xml:space="preserve">电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话：</w:t>
      </w:r>
      <w:bookmarkEnd w:id="0"/>
      <w:r/>
      <w:bookmarkEnd w:id="1"/>
      <w:r/>
      <w:bookmarkEnd w:id="2"/>
      <w:r/>
      <w:bookmarkEnd w:id="3"/>
      <w:r/>
      <w:bookmarkEnd w:id="4"/>
      <w:r/>
      <w:bookmarkEnd w:id="5"/>
      <w:r/>
      <w:bookmarkEnd w:id="6"/>
      <w:r/>
      <w:bookmarkEnd w:id="7"/>
      <w:r/>
      <w:bookmarkEnd w:id="8"/>
      <w:r/>
      <w:bookmarkEnd w:id="9"/>
      <w:r/>
      <w:bookmarkEnd w:id="10"/>
      <w:r>
        <w:rPr>
          <w:rFonts w:hint="eastAsia" w:cs="宋体"/>
          <w:sz w:val="24"/>
          <w:szCs w:val="24"/>
          <w:highlight w:val="none"/>
          <w:lang w:val="en-US" w:eastAsia="zh-CN"/>
        </w:rPr>
        <w:t xml:space="preserve">15190618222</w:t>
      </w:r>
      <w:r/>
    </w:p>
    <w:p>
      <w:pPr>
        <w:jc w:val="center"/>
        <w:rPr>
          <w:rStyle w:val="1059"/>
          <w:rFonts w:hint="eastAsia" w:ascii="宋体" w:hAnsi="宋体" w:eastAsia="宋体" w:cs="宋体"/>
          <w:b/>
          <w:bCs/>
          <w:sz w:val="32"/>
          <w:szCs w:val="32"/>
          <w:highlight w:val="none"/>
        </w:rPr>
      </w:pPr>
      <w:r/>
      <w:bookmarkStart w:id="24" w:name="_Toc426469869"/>
      <w:r/>
      <w:bookmarkStart w:id="25" w:name="_Toc468783587"/>
      <w:r>
        <w:rPr>
          <w:rFonts w:hint="eastAsia" w:ascii="宋体" w:hAnsi="宋体" w:eastAsia="宋体" w:cs="宋体"/>
          <w:b/>
          <w:sz w:val="32"/>
          <w:szCs w:val="32"/>
          <w:highlight w:val="none"/>
        </w:rPr>
        <w:br w:type="page" w:clear="all"/>
      </w:r>
      <w:bookmarkEnd w:id="24"/>
      <w:r/>
      <w:bookmarkEnd w:id="25"/>
      <w:r/>
      <w:bookmarkStart w:id="26" w:name="_Toc7035"/>
      <w:r/>
      <w:bookmarkStart w:id="27" w:name="_Toc214"/>
      <w:r/>
      <w:bookmarkStart w:id="28" w:name="_Toc6112"/>
      <w:r/>
      <w:bookmarkStart w:id="29" w:name="_Toc11389"/>
      <w:r>
        <w:rPr>
          <w:rStyle w:val="1059"/>
          <w:rFonts w:hint="eastAsia" w:ascii="宋体" w:hAnsi="宋体" w:eastAsia="宋体" w:cs="宋体"/>
          <w:b/>
          <w:bCs/>
          <w:sz w:val="32"/>
          <w:szCs w:val="32"/>
          <w:highlight w:val="none"/>
        </w:rPr>
        <w:t xml:space="preserve">第</w:t>
      </w:r>
      <w:r>
        <w:rPr>
          <w:rStyle w:val="1059"/>
          <w:rFonts w:hint="eastAsia" w:ascii="宋体" w:hAnsi="宋体" w:eastAsia="宋体" w:cs="宋体"/>
          <w:b/>
          <w:bCs/>
          <w:sz w:val="32"/>
          <w:szCs w:val="32"/>
          <w:highlight w:val="none"/>
          <w:lang w:val="en-US" w:eastAsia="zh-CN"/>
        </w:rPr>
        <w:t xml:space="preserve">二</w:t>
      </w:r>
      <w:r>
        <w:rPr>
          <w:rStyle w:val="1059"/>
          <w:rFonts w:hint="eastAsia" w:ascii="宋体" w:hAnsi="宋体" w:eastAsia="宋体" w:cs="宋体"/>
          <w:b/>
          <w:bCs/>
          <w:sz w:val="32"/>
          <w:szCs w:val="32"/>
          <w:highlight w:val="none"/>
        </w:rPr>
        <w:t xml:space="preserve">章 </w:t>
      </w:r>
      <w:r>
        <w:rPr>
          <w:rStyle w:val="1059"/>
          <w:rFonts w:hint="eastAsia" w:ascii="宋体" w:hAnsi="宋体" w:eastAsia="宋体" w:cs="宋体"/>
          <w:b/>
          <w:bCs/>
          <w:sz w:val="32"/>
          <w:szCs w:val="32"/>
          <w:highlight w:val="none"/>
          <w:lang w:val="en-US" w:eastAsia="zh-CN"/>
        </w:rPr>
        <w:t xml:space="preserve"> 供应商须知</w:t>
      </w:r>
      <w:bookmarkEnd w:id="26"/>
      <w:r/>
      <w:bookmarkEnd w:id="27"/>
      <w:r/>
      <w:bookmarkEnd w:id="28"/>
      <w:r/>
      <w:bookmarkEnd w:id="29"/>
      <w:r/>
      <w:r/>
    </w:p>
    <w:p>
      <w:pPr>
        <w:pStyle w:val="1047"/>
        <w:ind w:firstLine="480"/>
        <w:pageBreakBefore w:val="0"/>
        <w:spacing w:before="0" w:after="0" w:line="240" w:lineRule="auto"/>
        <w:rPr>
          <w:rFonts w:hint="eastAsia" w:ascii="宋体" w:hAnsi="宋体" w:eastAsia="宋体" w:cs="宋体"/>
          <w:b/>
          <w:bCs/>
          <w:sz w:val="22"/>
          <w:szCs w:val="22"/>
          <w:highlight w:val="none"/>
        </w:rPr>
      </w:pPr>
      <w:r/>
      <w:bookmarkStart w:id="30" w:name="_Toc468783588"/>
      <w:r/>
      <w:bookmarkStart w:id="31" w:name="_Toc426469870"/>
      <w:r/>
      <w:bookmarkStart w:id="32" w:name="_Toc17164"/>
      <w:r>
        <w:rPr>
          <w:rFonts w:hint="eastAsia" w:ascii="宋体" w:hAnsi="宋体" w:eastAsia="宋体" w:cs="宋体"/>
          <w:b/>
          <w:bCs/>
          <w:sz w:val="22"/>
          <w:szCs w:val="22"/>
          <w:highlight w:val="none"/>
        </w:rPr>
        <w:t xml:space="preserve">供应商须知前附表</w:t>
      </w:r>
      <w:bookmarkEnd w:id="30"/>
      <w:r/>
      <w:bookmarkEnd w:id="31"/>
      <w:r/>
      <w:bookmarkEnd w:id="32"/>
      <w:r/>
      <w:r/>
    </w:p>
    <w:tbl>
      <w:tblPr>
        <w:tblStyle w:val="881"/>
        <w:tblW w:w="92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471"/>
        <w:gridCol w:w="5910"/>
      </w:tblGrid>
      <w:tr>
        <w:trPr/>
        <w:tc>
          <w:tcPr>
            <w:tcW w:w="900" w:type="dxa"/>
            <w:vAlign w:val="top"/>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条款号</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条款名称</w:t>
            </w:r>
            <w:r/>
          </w:p>
        </w:tc>
        <w:tc>
          <w:tcPr>
            <w:tcW w:w="5910" w:type="dxa"/>
            <w:vAlign w:val="top"/>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编列内容</w:t>
            </w:r>
            <w:r/>
          </w:p>
        </w:tc>
      </w:tr>
      <w:tr>
        <w:trPr>
          <w:trHeight w:val="1266"/>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1.1.2</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名称：</w:t>
            </w:r>
            <w:r>
              <w:rPr>
                <w:rFonts w:hint="eastAsia" w:ascii="宋体" w:hAnsi="宋体" w:cs="宋体"/>
                <w:sz w:val="22"/>
                <w:szCs w:val="22"/>
                <w:highlight w:val="none"/>
                <w:lang w:eastAsia="zh-CN"/>
              </w:rPr>
              <w:t xml:space="preserve">泰兴市宣堡镇人民政府</w:t>
            </w:r>
            <w:r/>
          </w:p>
          <w:p>
            <w:pPr>
              <w:jc w:val="both"/>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地址：</w:t>
            </w:r>
            <w:r>
              <w:rPr>
                <w:rFonts w:hint="eastAsia" w:ascii="宋体" w:hAnsi="宋体" w:eastAsia="宋体" w:cs="宋体"/>
                <w:sz w:val="22"/>
                <w:szCs w:val="22"/>
                <w:highlight w:val="none"/>
                <w:lang w:eastAsia="zh-CN"/>
              </w:rPr>
              <w:t xml:space="preserve">泰兴市</w:t>
            </w:r>
            <w:r>
              <w:rPr>
                <w:rFonts w:hint="eastAsia" w:ascii="宋体" w:hAnsi="宋体" w:cs="宋体"/>
                <w:sz w:val="22"/>
                <w:szCs w:val="22"/>
                <w:highlight w:val="none"/>
                <w:lang w:eastAsia="zh-CN"/>
              </w:rPr>
              <w:t xml:space="preserve">宣堡镇</w:t>
            </w:r>
            <w:r/>
          </w:p>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联系人</w:t>
            </w:r>
            <w:r>
              <w:rPr>
                <w:rFonts w:hint="eastAsia" w:ascii="宋体" w:hAnsi="宋体" w:cs="宋体"/>
                <w:sz w:val="22"/>
                <w:szCs w:val="22"/>
                <w:highlight w:val="none"/>
                <w:lang w:eastAsia="zh-CN"/>
              </w:rPr>
              <w:t xml:space="preserve">：朱炳波</w:t>
            </w:r>
            <w:r/>
          </w:p>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联系电话：</w:t>
            </w:r>
            <w:r>
              <w:rPr>
                <w:rFonts w:hint="eastAsia" w:ascii="宋体" w:hAnsi="宋体" w:cs="宋体"/>
                <w:sz w:val="22"/>
                <w:szCs w:val="22"/>
                <w:highlight w:val="none"/>
                <w:lang w:eastAsia="zh-CN"/>
              </w:rPr>
              <w:t xml:space="preserve">18796760396</w:t>
            </w:r>
            <w:r/>
          </w:p>
        </w:tc>
      </w:tr>
      <w:tr>
        <w:trPr>
          <w:trHeight w:val="1236"/>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1.1.3</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采购代理机构</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名称：</w:t>
            </w:r>
            <w:r>
              <w:rPr>
                <w:rFonts w:hint="eastAsia" w:ascii="宋体" w:hAnsi="宋体" w:cs="宋体"/>
                <w:sz w:val="22"/>
                <w:szCs w:val="22"/>
                <w:highlight w:val="none"/>
                <w:lang w:eastAsia="zh-CN"/>
              </w:rPr>
              <w:t xml:space="preserve">泰州诚兴项目管理有限公司</w:t>
            </w:r>
            <w:r/>
          </w:p>
          <w:p>
            <w:pPr>
              <w:jc w:val="both"/>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地址：</w:t>
            </w:r>
            <w:r>
              <w:rPr>
                <w:rFonts w:hint="eastAsia" w:ascii="宋体" w:hAnsi="宋体" w:cs="宋体"/>
                <w:sz w:val="22"/>
                <w:szCs w:val="22"/>
                <w:highlight w:val="none"/>
                <w:lang w:eastAsia="zh-CN"/>
              </w:rPr>
              <w:t xml:space="preserve">泰兴市城东高新区戴王路</w:t>
            </w:r>
            <w:r/>
          </w:p>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联系人：</w:t>
            </w:r>
            <w:r>
              <w:rPr>
                <w:rFonts w:hint="eastAsia" w:ascii="宋体" w:hAnsi="宋体" w:cs="宋体"/>
                <w:sz w:val="22"/>
                <w:szCs w:val="22"/>
                <w:highlight w:val="none"/>
                <w:lang w:val="en-US" w:eastAsia="zh-CN"/>
              </w:rPr>
              <w:t xml:space="preserve">李扬</w:t>
            </w:r>
            <w:r/>
          </w:p>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联系电话：</w:t>
            </w:r>
            <w:r>
              <w:rPr>
                <w:rFonts w:hint="eastAsia" w:ascii="宋体" w:hAnsi="宋体" w:cs="宋体"/>
                <w:sz w:val="22"/>
                <w:szCs w:val="22"/>
                <w:highlight w:val="none"/>
                <w:lang w:val="en-US" w:eastAsia="zh-CN"/>
              </w:rPr>
              <w:t xml:space="preserve">15190618222</w:t>
            </w:r>
            <w:r/>
          </w:p>
        </w:tc>
      </w:tr>
      <w:tr>
        <w:trPr>
          <w:trHeight w:val="66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1.1.4</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项目名称及编号</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项目名称：</w:t>
            </w:r>
            <w:r>
              <w:rPr>
                <w:rFonts w:hint="eastAsia" w:ascii="宋体" w:hAnsi="宋体" w:cs="宋体"/>
                <w:sz w:val="22"/>
                <w:szCs w:val="22"/>
                <w:highlight w:val="none"/>
                <w:lang w:eastAsia="zh-CN"/>
              </w:rPr>
              <w:t xml:space="preserve">泰兴市宣堡镇光明路维修改造工程</w:t>
            </w:r>
            <w:r/>
          </w:p>
          <w:p>
            <w:pPr>
              <w:pStyle w:val="1076"/>
              <w:jc w:val="both"/>
              <w:keepLines w:val="0"/>
              <w:keepNext w:val="0"/>
              <w:pageBreakBefore w:val="0"/>
              <w:spacing w:after="0"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项目编号： JSZC-321283-TZCX-C2025-0003 </w:t>
            </w:r>
            <w:r/>
          </w:p>
        </w:tc>
      </w:tr>
      <w:tr>
        <w:trPr>
          <w:trHeight w:val="650"/>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资金来源及出资比例</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bookmarkStart w:id="33" w:name="EB0b51c78ec4aa43fdb5edf8e1b57ddda1"/>
            <w:r>
              <w:rPr>
                <w:rFonts w:hint="eastAsia" w:ascii="宋体" w:hAnsi="宋体" w:eastAsia="宋体" w:cs="宋体"/>
                <w:sz w:val="22"/>
                <w:szCs w:val="22"/>
                <w:highlight w:val="none"/>
              </w:rPr>
              <w:t xml:space="preserve">资金来源：</w:t>
            </w:r>
            <w:bookmarkEnd w:id="33"/>
            <w:r>
              <w:rPr>
                <w:rFonts w:hint="eastAsia" w:ascii="宋体" w:hAnsi="宋体" w:eastAsia="宋体" w:cs="宋体"/>
                <w:sz w:val="22"/>
                <w:szCs w:val="22"/>
                <w:highlight w:val="none"/>
              </w:rPr>
              <w:t xml:space="preserve">财政</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出资比例：100%</w:t>
            </w:r>
            <w:r/>
          </w:p>
        </w:tc>
      </w:tr>
      <w:tr>
        <w:trPr>
          <w:trHeight w:val="36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1.2.2</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资金落实情况</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已落实</w:t>
            </w:r>
            <w:r/>
          </w:p>
        </w:tc>
      </w:tr>
      <w:tr>
        <w:trPr>
          <w:trHeight w:val="469"/>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1.2.3</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付款方式</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工程竣工验收合格并经审计后年底付至审计价的80%，余款第二年年底按审计价一次性付清</w:t>
            </w:r>
            <w:r>
              <w:rPr>
                <w:rFonts w:hint="eastAsia" w:ascii="宋体" w:hAnsi="宋体" w:eastAsia="宋体" w:cs="宋体"/>
                <w:sz w:val="22"/>
                <w:szCs w:val="22"/>
                <w:highlight w:val="none"/>
                <w:lang w:val="en-US" w:eastAsia="zh-CN"/>
              </w:rPr>
              <w:t xml:space="preserve">。  </w:t>
            </w:r>
            <w:r/>
          </w:p>
        </w:tc>
      </w:tr>
      <w:tr>
        <w:trPr>
          <w:trHeight w:val="433"/>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采购范围</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见竞争性磋商公告</w:t>
            </w:r>
            <w:r/>
          </w:p>
        </w:tc>
      </w:tr>
      <w:tr>
        <w:trPr>
          <w:trHeight w:val="57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1.3.2</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合同履行期（</w:t>
            </w:r>
            <w:r>
              <w:rPr>
                <w:rFonts w:hint="eastAsia" w:ascii="宋体" w:hAnsi="宋体" w:eastAsia="宋体" w:cs="宋体"/>
                <w:sz w:val="22"/>
                <w:szCs w:val="22"/>
                <w:highlight w:val="none"/>
              </w:rPr>
              <w:t xml:space="preserve">工期</w:t>
            </w:r>
            <w:r>
              <w:rPr>
                <w:rFonts w:hint="eastAsia" w:ascii="宋体" w:hAnsi="宋体" w:eastAsia="宋体" w:cs="宋体"/>
                <w:sz w:val="22"/>
                <w:szCs w:val="22"/>
                <w:highlight w:val="none"/>
                <w:lang w:eastAsia="zh-CN"/>
              </w:rPr>
              <w:t xml:space="preserve">）</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见竞争性磋商公告</w:t>
            </w:r>
            <w:r/>
          </w:p>
        </w:tc>
      </w:tr>
      <w:tr>
        <w:trPr>
          <w:trHeight w:val="47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1.3.3</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质量要求</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质量标准：合格</w:t>
            </w:r>
            <w:r/>
          </w:p>
        </w:tc>
      </w:tr>
      <w:tr>
        <w:trPr>
          <w:trHeight w:val="740"/>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1.4.2</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落实政府采购政策需满足的资格要求</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本项目专门面向中小企业</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供应商应为中小微企业、监狱企业、残疾人福利性单位。</w:t>
            </w:r>
            <w:r/>
          </w:p>
        </w:tc>
      </w:tr>
      <w:tr>
        <w:trPr>
          <w:trHeight w:val="635"/>
        </w:trPr>
        <w:tc>
          <w:tcPr>
            <w:tcW w:w="900"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1.4.</w:t>
            </w:r>
            <w:r>
              <w:rPr>
                <w:rFonts w:hint="eastAsia" w:ascii="宋体" w:hAnsi="宋体" w:eastAsia="宋体" w:cs="宋体"/>
                <w:sz w:val="22"/>
                <w:szCs w:val="22"/>
                <w:highlight w:val="none"/>
                <w:lang w:val="en-US" w:eastAsia="zh-CN"/>
              </w:rPr>
              <w:t xml:space="preserve">3</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采购人要求供应商具备的特定资格要求</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见竞争性磋商公告</w:t>
            </w:r>
            <w:r/>
          </w:p>
        </w:tc>
      </w:tr>
      <w:tr>
        <w:trPr>
          <w:trHeight w:val="499"/>
        </w:trPr>
        <w:tc>
          <w:tcPr>
            <w:tcW w:w="90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是否接受联合体投标</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见竞争性磋商公告</w:t>
            </w:r>
            <w:r/>
          </w:p>
        </w:tc>
      </w:tr>
      <w:tr>
        <w:trPr>
          <w:trHeight w:val="437"/>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1.9.1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踏勘现场</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不组织，供应商自行踏勘现场</w:t>
            </w:r>
            <w:r/>
          </w:p>
        </w:tc>
      </w:tr>
      <w:tr>
        <w:trPr>
          <w:trHeight w:val="437"/>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1.10</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分包</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不允许</w:t>
            </w:r>
            <w:bookmarkStart w:id="34" w:name="FBa2837fca29db41d2a5b6d9945d0066c1"/>
            <w:r/>
            <w:bookmarkEnd w:id="34"/>
            <w:r/>
            <w:bookmarkStart w:id="35" w:name="FEa2837fca29db41d2a5b6d9945d0066c1"/>
            <w:r/>
            <w:bookmarkEnd w:id="35"/>
            <w:r/>
            <w:r/>
          </w:p>
        </w:tc>
      </w:tr>
      <w:tr>
        <w:trPr>
          <w:trHeight w:val="410"/>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偏离</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不允许负偏离</w:t>
            </w:r>
            <w:r/>
          </w:p>
        </w:tc>
      </w:tr>
      <w:tr>
        <w:trPr>
          <w:trHeight w:val="68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构成竞争性磋商文件的</w:t>
            </w:r>
            <w:r/>
          </w:p>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其他材料</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bookmarkStart w:id="36" w:name="EB35ced2e8f8364f63a510bf246ff979f0"/>
            <w:r/>
            <w:bookmarkEnd w:id="36"/>
            <w:r>
              <w:rPr>
                <w:rFonts w:hint="eastAsia" w:ascii="宋体" w:hAnsi="宋体" w:eastAsia="宋体" w:cs="宋体"/>
                <w:sz w:val="22"/>
                <w:szCs w:val="22"/>
                <w:highlight w:val="none"/>
                <w:lang w:val="en-US" w:eastAsia="zh-CN"/>
              </w:rPr>
              <w:t xml:space="preserve">工程量清单、图纸（如有）、</w:t>
            </w:r>
            <w:r>
              <w:rPr>
                <w:rFonts w:hint="eastAsia" w:ascii="宋体" w:hAnsi="宋体" w:eastAsia="宋体" w:cs="宋体"/>
                <w:sz w:val="22"/>
                <w:szCs w:val="22"/>
                <w:highlight w:val="none"/>
              </w:rPr>
              <w:t xml:space="preserve">竞争性磋商文件的澄清、修改、补充通知等内容</w:t>
            </w:r>
            <w:r/>
          </w:p>
        </w:tc>
      </w:tr>
      <w:tr>
        <w:trPr>
          <w:trHeight w:val="66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供应商要求澄清竞争性磋商文件的截止时间</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 xml:space="preserve">2026</w:t>
            </w:r>
            <w:r>
              <w:rPr>
                <w:rFonts w:hint="eastAsia" w:ascii="宋体" w:hAnsi="宋体" w:eastAsia="宋体" w:cs="宋体"/>
                <w:sz w:val="22"/>
                <w:szCs w:val="22"/>
                <w:highlight w:val="none"/>
                <w:lang w:eastAsia="zh-CN"/>
              </w:rPr>
              <w:t xml:space="preserve">年</w:t>
            </w:r>
            <w:r>
              <w:rPr>
                <w:rFonts w:hint="eastAsia" w:ascii="宋体" w:hAnsi="宋体" w:cs="宋体"/>
                <w:sz w:val="22"/>
                <w:szCs w:val="22"/>
                <w:highlight w:val="none"/>
                <w:lang w:val="en-US" w:eastAsia="zh-CN"/>
              </w:rPr>
              <w:t xml:space="preserve">01</w:t>
            </w:r>
            <w:r>
              <w:rPr>
                <w:rFonts w:hint="eastAsia" w:ascii="宋体" w:hAnsi="宋体" w:eastAsia="宋体" w:cs="宋体"/>
                <w:sz w:val="22"/>
                <w:szCs w:val="22"/>
                <w:highlight w:val="none"/>
                <w:lang w:val="en-US" w:eastAsia="zh-CN"/>
              </w:rPr>
              <w:t xml:space="preserve">月</w:t>
            </w:r>
            <w:r>
              <w:rPr>
                <w:rFonts w:hint="eastAsia" w:ascii="宋体" w:hAnsi="宋体" w:cs="宋体"/>
                <w:sz w:val="22"/>
                <w:szCs w:val="22"/>
                <w:highlight w:val="none"/>
                <w:lang w:val="en-US" w:eastAsia="zh-CN"/>
              </w:rPr>
              <w:t xml:space="preserve">11</w:t>
            </w:r>
            <w:r>
              <w:rPr>
                <w:rFonts w:hint="eastAsia" w:ascii="宋体" w:hAnsi="宋体" w:eastAsia="宋体" w:cs="宋体"/>
                <w:sz w:val="22"/>
                <w:szCs w:val="22"/>
                <w:highlight w:val="none"/>
              </w:rPr>
              <w:t xml:space="preserve">日</w:t>
            </w:r>
            <w:r>
              <w:rPr>
                <w:rFonts w:hint="eastAsia" w:ascii="宋体" w:hAnsi="宋体" w:cs="宋体"/>
                <w:sz w:val="22"/>
                <w:szCs w:val="22"/>
                <w:highlight w:val="none"/>
                <w:lang w:val="en-US" w:eastAsia="zh-CN"/>
              </w:rPr>
              <w:t xml:space="preserve">17</w:t>
            </w:r>
            <w:r>
              <w:rPr>
                <w:rFonts w:hint="eastAsia" w:ascii="宋体" w:hAnsi="宋体" w:eastAsia="宋体" w:cs="宋体"/>
                <w:sz w:val="22"/>
                <w:szCs w:val="22"/>
                <w:highlight w:val="none"/>
              </w:rPr>
              <w:t xml:space="preserve">时</w:t>
            </w:r>
            <w:r/>
          </w:p>
        </w:tc>
      </w:tr>
      <w:tr>
        <w:trPr>
          <w:trHeight w:val="652"/>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2.4.1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最高限价</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 xml:space="preserve">124.158988</w:t>
            </w:r>
            <w:r>
              <w:rPr>
                <w:rFonts w:hint="eastAsia" w:ascii="宋体" w:hAnsi="宋体" w:eastAsia="宋体" w:cs="宋体"/>
                <w:sz w:val="22"/>
                <w:szCs w:val="22"/>
                <w:highlight w:val="none"/>
                <w:lang w:val="en-US" w:eastAsia="zh-CN"/>
              </w:rPr>
              <w:t xml:space="preserve">万元 </w:t>
            </w:r>
            <w:r>
              <w:rPr>
                <w:rFonts w:hint="eastAsia" w:ascii="宋体" w:hAnsi="宋体" w:eastAsia="宋体" w:cs="宋体"/>
                <w:sz w:val="22"/>
                <w:szCs w:val="22"/>
                <w:highlight w:val="none"/>
              </w:rPr>
              <w:t xml:space="preserve">（投标报价不得高于最高限价）</w:t>
            </w:r>
            <w:r/>
          </w:p>
        </w:tc>
      </w:tr>
      <w:tr>
        <w:trPr>
          <w:trHeight w:val="90"/>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响应文件的组成</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（1）磋商报价表</w:t>
            </w:r>
            <w:r/>
          </w:p>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（2）响应函</w:t>
            </w:r>
            <w:r>
              <w:rPr>
                <w:rFonts w:hint="eastAsia" w:ascii="宋体" w:hAnsi="宋体" w:eastAsia="宋体" w:cs="宋体"/>
                <w:sz w:val="22"/>
                <w:szCs w:val="22"/>
                <w:highlight w:val="none"/>
                <w:lang w:val="en-US" w:eastAsia="zh-CN"/>
              </w:rPr>
              <w:t xml:space="preserve">及附录</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（3）资格及资信证明文件</w:t>
            </w:r>
            <w:r/>
          </w:p>
          <w:p>
            <w:pPr>
              <w:jc w:val="both"/>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（4）技术标准和要求响应</w:t>
            </w:r>
            <w:r>
              <w:rPr>
                <w:rFonts w:hint="eastAsia" w:ascii="宋体" w:hAnsi="宋体" w:eastAsia="宋体" w:cs="宋体"/>
                <w:sz w:val="22"/>
                <w:szCs w:val="22"/>
                <w:highlight w:val="none"/>
                <w:lang w:val="en-US" w:eastAsia="zh-CN"/>
              </w:rPr>
              <w:t xml:space="preserve">承诺</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（5）企业综合实力证明材料</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（6）供应商认为应列入响应文件的其他材料</w:t>
            </w:r>
            <w:r/>
          </w:p>
        </w:tc>
      </w:tr>
      <w:tr>
        <w:trPr>
          <w:trHeight w:val="688"/>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rPr>
              <w:t xml:space="preserve">3.2.6</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rPr>
              <w:t xml:space="preserve">合同价格形式</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单价合同</w:t>
            </w:r>
            <w:r/>
          </w:p>
          <w:p>
            <w:pPr>
              <w:keepLines w:val="0"/>
              <w:keepNext w:val="0"/>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rPr>
              <w:t xml:space="preserve">□总价合同</w:t>
            </w:r>
            <w:r/>
          </w:p>
        </w:tc>
      </w:tr>
      <w:tr>
        <w:trPr>
          <w:trHeight w:val="8970"/>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3.2.</w:t>
            </w:r>
            <w:r>
              <w:rPr>
                <w:rFonts w:hint="eastAsia" w:ascii="宋体" w:hAnsi="宋体" w:eastAsia="宋体" w:cs="宋体"/>
                <w:sz w:val="22"/>
                <w:szCs w:val="22"/>
                <w:highlight w:val="none"/>
                <w:lang w:val="en-US" w:eastAsia="zh-CN"/>
              </w:rPr>
              <w:t xml:space="preserve">7</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报价的其他要求</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1.本项目通过“苏采云”系统进行电子采购，即供应商响应文件从政府采购客户端工具制作并通过“苏采云”系统提交。</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供应商应当通过“苏采云”系统提交数据电文形式的响应文件（即电子投标）。未进行线上响应文件提交并解密(因“苏采云”系统导致解密失败的除外)的供应商，响应无效。</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“CA数字证书”的获取：供应商需办理CA锁，“CA数字证书”的办理方法详见“江苏省政府采购数字证书CA及电子签章办理指南”，网址：http://jsxcmm.com/help/ help.html。</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“苏采云”系统使用要求：</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使用谷歌浏览器参与不见面开标及响应环节。</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电脑需提前准备好麦克风、音响，摄像头，提前检查保证能够正常使用。</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操作系统至少win7以上，建议使用win10操作系统。</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bCs w:val="0"/>
                <w:sz w:val="22"/>
                <w:szCs w:val="22"/>
                <w:highlight w:val="none"/>
                <w:lang w:val="en-US" w:eastAsia="zh-CN"/>
              </w:rPr>
              <w:t xml:space="preserve">解密时限为30分钟，请各供应商务在30分钟内完成解密，否则将视作撤销投标。</w:t>
            </w:r>
            <w:r/>
          </w:p>
          <w:p>
            <w:pPr>
              <w:keepLines w:val="0"/>
              <w:keepNext w:val="0"/>
              <w:pageBreakBefore w:val="0"/>
              <w:spacing w:line="240" w:lineRule="auto"/>
              <w:rPr>
                <w:rFonts w:hint="eastAsia" w:ascii="宋体" w:hAnsi="宋体" w:eastAsia="宋体" w:cs="宋体"/>
                <w:b/>
                <w:bCs w:val="0"/>
                <w:sz w:val="22"/>
                <w:szCs w:val="22"/>
                <w:highlight w:val="none"/>
                <w:lang w:val="en-US" w:eastAsia="zh-CN"/>
              </w:rPr>
            </w:pPr>
            <w:r>
              <w:rPr>
                <w:rFonts w:hint="eastAsia" w:ascii="宋体" w:hAnsi="宋体" w:eastAsia="宋体" w:cs="宋体"/>
                <w:b w:val="0"/>
                <w:bCs/>
                <w:sz w:val="22"/>
                <w:szCs w:val="22"/>
                <w:highlight w:val="none"/>
                <w:lang w:val="en-US" w:eastAsia="zh-CN"/>
              </w:rPr>
              <w:t xml:space="preserve">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ascii="宋体" w:hAnsi="宋体" w:eastAsia="宋体" w:cs="宋体"/>
                <w:b/>
                <w:bCs w:val="0"/>
                <w:sz w:val="22"/>
                <w:szCs w:val="22"/>
                <w:highlight w:val="none"/>
                <w:lang w:val="en-US" w:eastAsia="zh-CN"/>
              </w:rPr>
              <w:t xml:space="preserve">报价系统开启后</w:t>
            </w:r>
            <w:r>
              <w:rPr>
                <w:rFonts w:hint="eastAsia" w:ascii="宋体" w:hAnsi="宋体" w:cs="宋体"/>
                <w:b/>
                <w:bCs w:val="0"/>
                <w:sz w:val="22"/>
                <w:szCs w:val="22"/>
                <w:highlight w:val="none"/>
                <w:lang w:val="en-US" w:eastAsia="zh-CN"/>
              </w:rPr>
              <w:t xml:space="preserve">按系统提示的规定时间</w:t>
            </w:r>
            <w:r>
              <w:rPr>
                <w:rFonts w:hint="eastAsia" w:ascii="宋体" w:hAnsi="宋体" w:eastAsia="宋体" w:cs="宋体"/>
                <w:b/>
                <w:bCs w:val="0"/>
                <w:sz w:val="22"/>
                <w:szCs w:val="22"/>
                <w:highlight w:val="none"/>
                <w:lang w:val="en-US" w:eastAsia="zh-CN"/>
              </w:rPr>
              <w:t xml:space="preserve">提交最终报价(二轮报价)。</w:t>
            </w:r>
            <w:r/>
          </w:p>
          <w:p>
            <w:pPr>
              <w:keepLines w:val="0"/>
              <w:keepNext w:val="0"/>
              <w:pageBreakBefore w:val="0"/>
              <w:spacing w:line="240" w:lineRule="auto"/>
              <w:rPr>
                <w:rFonts w:hint="eastAsia" w:ascii="宋体" w:hAnsi="宋体" w:eastAsia="宋体" w:cs="宋体"/>
                <w:b/>
                <w:bCs w:val="0"/>
                <w:sz w:val="22"/>
                <w:szCs w:val="22"/>
                <w:highlight w:val="none"/>
                <w:lang w:val="en-US" w:eastAsia="zh-CN"/>
              </w:rPr>
            </w:pPr>
            <w:r>
              <w:rPr>
                <w:rFonts w:hint="eastAsia" w:ascii="宋体" w:hAnsi="宋体" w:eastAsia="宋体" w:cs="宋体"/>
                <w:b/>
                <w:bCs w:val="0"/>
                <w:sz w:val="22"/>
                <w:szCs w:val="22"/>
                <w:highlight w:val="none"/>
                <w:lang w:val="en-US" w:eastAsia="zh-CN"/>
              </w:rPr>
              <w:t xml:space="preserve">供应商最后一次报价或最终报价应在工程数量、要求、服务等方面不降低的情况下，不得高于前一次报价。否则，磋商小组有权拒绝该磋商报价并不再给予报价补救机会。</w:t>
            </w:r>
            <w:r/>
          </w:p>
          <w:p>
            <w:pP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b/>
                <w:bCs w:val="0"/>
                <w:sz w:val="22"/>
                <w:szCs w:val="22"/>
                <w:highlight w:val="none"/>
                <w:lang w:val="en-US" w:eastAsia="zh-CN"/>
              </w:rPr>
              <w:t xml:space="preserve">各供应商应准时参加磋商会议，</w:t>
            </w:r>
            <w:r>
              <w:rPr>
                <w:rFonts w:hint="eastAsia" w:ascii="宋体" w:hAnsi="宋体" w:eastAsia="宋体" w:cs="宋体"/>
                <w:b/>
                <w:bCs w:val="0"/>
                <w:sz w:val="22"/>
                <w:szCs w:val="22"/>
                <w:highlight w:val="none"/>
              </w:rPr>
              <w:t xml:space="preserve">按照磋商小组的要求，在</w:t>
            </w:r>
            <w:r>
              <w:rPr>
                <w:rFonts w:hint="eastAsia" w:ascii="宋体" w:hAnsi="宋体" w:cs="宋体"/>
                <w:b/>
                <w:bCs w:val="0"/>
                <w:sz w:val="22"/>
                <w:szCs w:val="22"/>
                <w:highlight w:val="none"/>
                <w:lang w:eastAsia="zh-CN"/>
              </w:rPr>
              <w:t xml:space="preserve">系统</w:t>
            </w:r>
            <w:r>
              <w:rPr>
                <w:rFonts w:hint="eastAsia" w:ascii="宋体" w:hAnsi="宋体" w:eastAsia="宋体" w:cs="宋体"/>
                <w:b/>
                <w:bCs w:val="0"/>
                <w:sz w:val="22"/>
                <w:szCs w:val="22"/>
                <w:highlight w:val="none"/>
              </w:rPr>
              <w:t xml:space="preserve">规定的时间内通过“苏采云”系统提交最后报价</w:t>
            </w:r>
            <w:r>
              <w:rPr>
                <w:rFonts w:hint="eastAsia" w:ascii="宋体" w:hAnsi="宋体" w:eastAsia="宋体" w:cs="宋体"/>
                <w:b/>
                <w:bCs w:val="0"/>
                <w:sz w:val="22"/>
                <w:szCs w:val="22"/>
                <w:highlight w:val="none"/>
                <w:lang w:eastAsia="zh-CN"/>
              </w:rPr>
              <w:t xml:space="preserve">，</w:t>
            </w:r>
            <w:r>
              <w:rPr>
                <w:rFonts w:hint="eastAsia" w:ascii="宋体" w:hAnsi="宋体" w:eastAsia="宋体" w:cs="宋体"/>
                <w:b/>
                <w:bCs w:val="0"/>
                <w:sz w:val="22"/>
                <w:szCs w:val="22"/>
                <w:highlight w:val="none"/>
                <w:lang w:val="en-US" w:eastAsia="zh-CN"/>
              </w:rPr>
              <w:t xml:space="preserve">逾期报价或未报价的，视作退出磋商</w:t>
            </w:r>
            <w:r>
              <w:rPr>
                <w:rFonts w:hint="eastAsia" w:ascii="宋体" w:hAnsi="宋体" w:eastAsia="宋体" w:cs="宋体"/>
                <w:b/>
                <w:bCs w:val="0"/>
                <w:sz w:val="22"/>
                <w:szCs w:val="22"/>
                <w:highlight w:val="none"/>
              </w:rPr>
              <w:t xml:space="preserve">。</w:t>
            </w:r>
            <w:r/>
          </w:p>
        </w:tc>
      </w:tr>
      <w:tr>
        <w:trPr>
          <w:trHeight w:val="553"/>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3.3.1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响应有效期</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60天</w:t>
            </w:r>
            <w:r/>
          </w:p>
        </w:tc>
      </w:tr>
      <w:tr>
        <w:trPr>
          <w:trHeight w:val="45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3.4.1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磋商保证金</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p>
        </w:tc>
      </w:tr>
      <w:tr>
        <w:trPr>
          <w:trHeight w:val="536"/>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3.</w:t>
            </w:r>
            <w:r>
              <w:rPr>
                <w:rFonts w:hint="eastAsia" w:ascii="宋体" w:hAnsi="宋体" w:eastAsia="宋体" w:cs="宋体"/>
                <w:sz w:val="22"/>
                <w:szCs w:val="22"/>
                <w:highlight w:val="none"/>
                <w:lang w:val="en-US" w:eastAsia="zh-CN"/>
              </w:rPr>
              <w:t xml:space="preserve">6.1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响应文件的份数</w:t>
            </w:r>
            <w:r/>
          </w:p>
        </w:tc>
        <w:tc>
          <w:tcPr>
            <w:tcW w:w="5910" w:type="dxa"/>
            <w:vAlign w:val="center"/>
            <w:textDirection w:val="lrTb"/>
            <w:noWrap w:val="false"/>
          </w:tcPr>
          <w:p>
            <w:pPr>
              <w:pStyle w:val="1074"/>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电子响应文件壹份</w:t>
            </w:r>
            <w:r/>
          </w:p>
        </w:tc>
      </w:tr>
      <w:tr>
        <w:trPr>
          <w:trHeight w:val="208"/>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3.6.2</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响应文件的</w:t>
            </w:r>
            <w:r>
              <w:rPr>
                <w:rFonts w:hint="eastAsia" w:ascii="宋体" w:hAnsi="宋体" w:eastAsia="宋体" w:cs="宋体"/>
                <w:sz w:val="22"/>
                <w:szCs w:val="22"/>
                <w:highlight w:val="none"/>
                <w:lang w:val="en-US" w:eastAsia="zh-CN"/>
              </w:rPr>
              <w:t xml:space="preserve">签署</w:t>
            </w:r>
            <w:r/>
          </w:p>
        </w:tc>
        <w:tc>
          <w:tcPr>
            <w:tcW w:w="5910" w:type="dxa"/>
            <w:vAlign w:val="center"/>
            <w:textDirection w:val="lrTb"/>
            <w:noWrap w:val="false"/>
          </w:tcPr>
          <w:p>
            <w:pPr>
              <w:pStyle w:val="1112"/>
              <w:jc w:val="both"/>
              <w:keepLines w:val="0"/>
              <w:keepNext w:val="0"/>
              <w:pageBreakBefore w:val="0"/>
              <w:spacing w:before="0" w:beforeAutospacing="0" w:after="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响应函、供应商基本资格条件承诺书、中小企业声明函（若需）及其他第五章“响应文件编制和格式”中要求签字盖章处须加盖供应商</w:t>
            </w:r>
            <w:r>
              <w:rPr>
                <w:rFonts w:hint="eastAsia" w:cs="宋体"/>
                <w:sz w:val="22"/>
                <w:szCs w:val="22"/>
                <w:highlight w:val="none"/>
                <w:lang w:eastAsia="zh-CN"/>
              </w:rPr>
              <w:t xml:space="preserve">公</w:t>
            </w:r>
            <w:r>
              <w:rPr>
                <w:rFonts w:hint="eastAsia" w:ascii="宋体" w:hAnsi="宋体" w:eastAsia="宋体" w:cs="宋体"/>
                <w:sz w:val="22"/>
                <w:szCs w:val="22"/>
                <w:highlight w:val="none"/>
              </w:rPr>
              <w:t xml:space="preserve">章并经法定代表人或经其授权的代表签字或签章。授权代表签字或签章时，须将《法定代表人授权书》及其附件编制在响应文件中。</w:t>
            </w:r>
            <w:r/>
          </w:p>
        </w:tc>
      </w:tr>
      <w:tr>
        <w:trPr>
          <w:trHeight w:val="968"/>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4.1.1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响应文件开启</w:t>
            </w:r>
            <w:r>
              <w:rPr>
                <w:rFonts w:hint="eastAsia" w:ascii="宋体" w:hAnsi="宋体" w:eastAsia="宋体" w:cs="宋体"/>
                <w:sz w:val="22"/>
                <w:szCs w:val="22"/>
                <w:highlight w:val="none"/>
              </w:rPr>
              <w:t xml:space="preserve">时间和地点</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开</w:t>
            </w:r>
            <w:r>
              <w:rPr>
                <w:rFonts w:hint="eastAsia" w:ascii="宋体" w:hAnsi="宋体" w:eastAsia="宋体" w:cs="宋体"/>
                <w:sz w:val="22"/>
                <w:szCs w:val="22"/>
                <w:highlight w:val="none"/>
                <w:lang w:val="en-US" w:eastAsia="zh-CN"/>
              </w:rPr>
              <w:t xml:space="preserve">启</w:t>
            </w:r>
            <w:r>
              <w:rPr>
                <w:rFonts w:hint="eastAsia" w:ascii="宋体" w:hAnsi="宋体" w:eastAsia="宋体" w:cs="宋体"/>
                <w:sz w:val="22"/>
                <w:szCs w:val="22"/>
                <w:highlight w:val="none"/>
              </w:rPr>
              <w:t xml:space="preserve">时间：</w:t>
            </w:r>
            <w:bookmarkStart w:id="37" w:name="EB72e20e40757d438698d0d924b6237fcc"/>
            <w:r/>
            <w:bookmarkEnd w:id="37"/>
            <w:r>
              <w:rPr>
                <w:rFonts w:hint="eastAsia" w:ascii="宋体" w:hAnsi="宋体" w:eastAsia="宋体" w:cs="宋体"/>
                <w:sz w:val="22"/>
                <w:szCs w:val="22"/>
                <w:highlight w:val="none"/>
              </w:rPr>
              <w:t xml:space="preserve">同提交首次响应文件截止时间</w:t>
            </w:r>
            <w:r>
              <w:rPr>
                <w:rFonts w:hint="eastAsia" w:ascii="宋体" w:hAnsi="宋体" w:eastAsia="宋体" w:cs="宋体"/>
                <w:sz w:val="22"/>
                <w:szCs w:val="22"/>
                <w:highlight w:val="none"/>
                <w:lang w:eastAsia="zh-CN"/>
              </w:rPr>
              <w:t xml:space="preserve">。</w:t>
            </w:r>
            <w:r/>
          </w:p>
          <w:p>
            <w:pPr>
              <w:pStyle w:val="1112"/>
              <w:jc w:val="both"/>
              <w:keepLines w:val="0"/>
              <w:keepNext w:val="0"/>
              <w:pageBreakBefore w:val="0"/>
              <w:spacing w:before="0" w:beforeAutospacing="0" w:after="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地点：“苏采云”系统（网址：http://jszfcg.jsczt.cn/）“开标大厅，点击“苏采云”进入系统“开标大厅”。）</w:t>
            </w:r>
            <w:r/>
          </w:p>
        </w:tc>
      </w:tr>
      <w:tr>
        <w:trPr>
          <w:trHeight w:val="541"/>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.1.1</w:t>
            </w:r>
            <w:r/>
          </w:p>
        </w:tc>
        <w:tc>
          <w:tcPr>
            <w:tcW w:w="2471" w:type="dxa"/>
            <w:vAlign w:val="center"/>
            <w:textDirection w:val="lrTb"/>
            <w:noWrap w:val="false"/>
          </w:tcPr>
          <w:p>
            <w:pPr>
              <w:pStyle w:val="1172"/>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磋商小组组成</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磋商小组人数：3人</w:t>
            </w:r>
            <w:r/>
          </w:p>
        </w:tc>
      </w:tr>
      <w:tr>
        <w:trPr>
          <w:trHeight w:val="51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.2</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成交公告媒介</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江苏政府采购网（www.ccgp-jiangsu.gov.cn）</w:t>
            </w:r>
            <w:r/>
          </w:p>
        </w:tc>
      </w:tr>
      <w:tr>
        <w:trPr>
          <w:trHeight w:val="1291"/>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8.1.1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履约保证金</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履约保证金的形式：支票、汇票、本票或者金融机构、担保机构出具的保函</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电子履约保函（保险）</w:t>
            </w:r>
            <w:r>
              <w:rPr>
                <w:rFonts w:hint="eastAsia" w:ascii="宋体" w:hAnsi="宋体" w:eastAsia="宋体" w:cs="宋体"/>
                <w:color w:val="000000"/>
                <w:sz w:val="22"/>
                <w:szCs w:val="22"/>
                <w:highlight w:val="none"/>
              </w:rPr>
              <w:t xml:space="preserve">等法律法规允许的非现金形式</w:t>
            </w:r>
            <w:r/>
          </w:p>
          <w:p>
            <w:pPr>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履约保证金的金额：</w:t>
            </w:r>
            <w:bookmarkStart w:id="38" w:name="EB6da6d62365f647dbaaea15a3daef1b11"/>
            <w:r>
              <w:rPr>
                <w:rFonts w:hint="eastAsia" w:ascii="宋体" w:hAnsi="宋体" w:eastAsia="宋体" w:cs="宋体"/>
                <w:b/>
                <w:bCs/>
                <w:color w:val="000000"/>
                <w:sz w:val="22"/>
                <w:szCs w:val="22"/>
                <w:highlight w:val="none"/>
                <w:lang w:eastAsia="zh-CN"/>
              </w:rPr>
              <w:t xml:space="preserve">成交价</w:t>
            </w:r>
            <w:r>
              <w:rPr>
                <w:rFonts w:hint="eastAsia" w:ascii="宋体" w:hAnsi="宋体" w:eastAsia="宋体" w:cs="宋体"/>
                <w:b/>
                <w:bCs/>
                <w:color w:val="000000"/>
                <w:sz w:val="22"/>
                <w:szCs w:val="22"/>
                <w:highlight w:val="none"/>
              </w:rPr>
              <w:t xml:space="preserve">×</w:t>
            </w:r>
            <w:r>
              <w:rPr>
                <w:rFonts w:hint="eastAsia" w:ascii="宋体" w:hAnsi="宋体" w:eastAsia="宋体" w:cs="宋体"/>
                <w:b/>
                <w:bCs/>
                <w:color w:val="000000"/>
                <w:sz w:val="22"/>
                <w:szCs w:val="22"/>
                <w:highlight w:val="none"/>
                <w:lang w:val="en-US" w:eastAsia="zh-CN"/>
              </w:rPr>
              <w:t xml:space="preserve">10</w:t>
            </w:r>
            <w:r>
              <w:rPr>
                <w:rFonts w:hint="eastAsia" w:ascii="宋体" w:hAnsi="宋体" w:eastAsia="宋体" w:cs="宋体"/>
                <w:b/>
                <w:bCs/>
                <w:color w:val="000000"/>
                <w:sz w:val="22"/>
                <w:szCs w:val="22"/>
                <w:highlight w:val="none"/>
              </w:rPr>
              <w:t xml:space="preserve">% </w:t>
            </w:r>
            <w:bookmarkEnd w:id="38"/>
            <w:r/>
            <w:r/>
          </w:p>
          <w:p>
            <w:pPr>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履约保证金的提交时间：</w:t>
            </w:r>
            <w:bookmarkStart w:id="39" w:name="EB022d3830b2a445e1ac704a813eae8795"/>
            <w:r>
              <w:rPr>
                <w:rFonts w:hint="eastAsia" w:ascii="宋体" w:hAnsi="宋体" w:eastAsia="宋体" w:cs="宋体"/>
                <w:color w:val="000000"/>
                <w:sz w:val="22"/>
                <w:szCs w:val="22"/>
                <w:highlight w:val="none"/>
              </w:rPr>
              <w:t xml:space="preserve">成交通知书签发后签订合同前</w:t>
            </w:r>
            <w:bookmarkEnd w:id="39"/>
            <w:r/>
            <w:r/>
          </w:p>
          <w:p>
            <w:pPr>
              <w:keepLines w:val="0"/>
              <w:keepNext w:val="0"/>
              <w:pageBreakBefore w:val="0"/>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注：电子履约保函（保险）的形式和缴纳方式执行“关于在全省政府采购领域推行电子履约保函(保险)的通知”（苏财购〔2023〕150号）。</w:t>
            </w:r>
            <w:r/>
          </w:p>
          <w:p>
            <w:pPr>
              <w:keepLines w:val="0"/>
              <w:keepNext w:val="0"/>
              <w:pageBreakBefore w:val="0"/>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退还时间：在成交人按承诺的工期、质量标准、规范要求完成项目后无息返还。工程竣工验收合格后凭工程竣工验收合格证书和收据办理退还手续。</w:t>
            </w:r>
            <w:r/>
          </w:p>
        </w:tc>
      </w:tr>
      <w:tr>
        <w:trPr>
          <w:trHeight w:val="49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.2.1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签订合同的时间要求</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自成交通知书发出之日起</w:t>
            </w:r>
            <w:r>
              <w:rPr>
                <w:rFonts w:hint="eastAsia" w:ascii="宋体" w:hAnsi="宋体" w:eastAsia="宋体" w:cs="宋体"/>
                <w:sz w:val="22"/>
                <w:szCs w:val="22"/>
                <w:highlight w:val="none"/>
                <w:u w:val="single"/>
                <w:lang w:val="en-US" w:eastAsia="zh-CN"/>
              </w:rPr>
              <w:t xml:space="preserve">30</w:t>
            </w:r>
            <w:r>
              <w:rPr>
                <w:rFonts w:hint="eastAsia" w:ascii="宋体" w:hAnsi="宋体" w:eastAsia="宋体" w:cs="宋体"/>
                <w:sz w:val="22"/>
                <w:szCs w:val="22"/>
                <w:highlight w:val="none"/>
              </w:rPr>
              <w:t xml:space="preserve">天内</w:t>
            </w:r>
            <w:r/>
          </w:p>
        </w:tc>
      </w:tr>
      <w:tr>
        <w:trPr>
          <w:trHeight w:val="479"/>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p>
        </w:tc>
        <w:tc>
          <w:tcPr>
            <w:gridSpan w:val="2"/>
            <w:tcW w:w="8381"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需要补充的其他内容</w:t>
            </w:r>
            <w:r/>
          </w:p>
        </w:tc>
      </w:tr>
      <w:tr>
        <w:trPr>
          <w:trHeight w:val="841"/>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.1</w:t>
            </w:r>
            <w:r/>
          </w:p>
        </w:tc>
        <w:tc>
          <w:tcPr>
            <w:gridSpan w:val="2"/>
            <w:tcW w:w="8381"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1.本次采购代理费由成交单位</w:t>
            </w:r>
            <w:r>
              <w:rPr>
                <w:rFonts w:hint="eastAsia" w:ascii="宋体" w:hAnsi="宋体" w:eastAsia="宋体" w:cs="宋体"/>
                <w:sz w:val="22"/>
                <w:szCs w:val="22"/>
                <w:highlight w:val="none"/>
                <w:lang w:val="en-US" w:eastAsia="zh-CN"/>
              </w:rPr>
              <w:t xml:space="preserve">代为支付</w:t>
            </w:r>
            <w:r>
              <w:rPr>
                <w:rFonts w:hint="eastAsia" w:ascii="宋体" w:hAnsi="宋体" w:eastAsia="宋体" w:cs="宋体"/>
                <w:sz w:val="22"/>
                <w:szCs w:val="22"/>
                <w:highlight w:val="none"/>
              </w:rPr>
              <w:t xml:space="preserve">，采购</w:t>
            </w:r>
            <w:r>
              <w:rPr>
                <w:rFonts w:hint="eastAsia" w:ascii="宋体" w:hAnsi="宋体" w:eastAsia="宋体" w:cs="宋体"/>
                <w:sz w:val="22"/>
                <w:szCs w:val="22"/>
                <w:highlight w:val="none"/>
                <w:lang w:val="en-US" w:eastAsia="zh-CN"/>
              </w:rPr>
              <w:t xml:space="preserve">代理费参照按</w:t>
            </w:r>
            <w:r>
              <w:rPr>
                <w:rFonts w:hint="eastAsia" w:ascii="宋体" w:hAnsi="宋体" w:cs="宋体"/>
                <w:sz w:val="22"/>
                <w:szCs w:val="22"/>
                <w:highlight w:val="none"/>
                <w:lang w:val="en-US" w:eastAsia="zh-CN"/>
              </w:rPr>
              <w:t xml:space="preserve">苏招协[2022]002号文件规定的70%计取</w:t>
            </w:r>
            <w:r>
              <w:rPr>
                <w:rFonts w:hint="eastAsia" w:ascii="宋体" w:hAnsi="宋体" w:eastAsia="宋体" w:cs="宋体"/>
                <w:color w:val="000000"/>
                <w:sz w:val="22"/>
                <w:szCs w:val="22"/>
                <w:highlight w:val="none"/>
              </w:rPr>
              <w:t xml:space="preserve">，最终按实际成交价结算</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sz w:val="22"/>
                <w:szCs w:val="22"/>
                <w:highlight w:val="none"/>
                <w:lang w:val="en-US" w:eastAsia="zh-CN"/>
              </w:rPr>
              <w:t xml:space="preserve">以上</w:t>
            </w:r>
            <w:r>
              <w:rPr>
                <w:rFonts w:hint="eastAsia" w:ascii="宋体" w:hAnsi="宋体" w:eastAsia="宋体" w:cs="宋体"/>
                <w:sz w:val="22"/>
                <w:szCs w:val="22"/>
                <w:highlight w:val="none"/>
              </w:rPr>
              <w:t xml:space="preserve">费用包含在</w:t>
            </w:r>
            <w:r>
              <w:rPr>
                <w:rFonts w:hint="eastAsia" w:ascii="宋体" w:hAnsi="宋体" w:eastAsia="宋体" w:cs="宋体"/>
                <w:sz w:val="22"/>
                <w:szCs w:val="22"/>
                <w:highlight w:val="none"/>
                <w:lang w:val="en-US" w:eastAsia="zh-CN"/>
              </w:rPr>
              <w:t xml:space="preserve">响应</w:t>
            </w:r>
            <w:r>
              <w:rPr>
                <w:rFonts w:hint="eastAsia" w:ascii="宋体" w:hAnsi="宋体" w:eastAsia="宋体" w:cs="宋体"/>
                <w:sz w:val="22"/>
                <w:szCs w:val="22"/>
                <w:highlight w:val="none"/>
              </w:rPr>
              <w:t xml:space="preserve">报价中，并不单独立项，由成交单位在领取成交通知书前向采购代理机构付清。</w:t>
            </w:r>
            <w:r/>
          </w:p>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供应商无须编制已标价的工程量清单，结算时各单价直接将预算价按照中标下浮率（特指实际下浮率，</w:t>
            </w:r>
            <w:r>
              <w:rPr>
                <w:rFonts w:hint="eastAsia" w:ascii="宋体" w:hAnsi="宋体" w:eastAsia="宋体" w:cs="宋体"/>
                <w:sz w:val="22"/>
                <w:szCs w:val="22"/>
                <w:highlight w:val="none"/>
                <w:lang w:val="en-US" w:eastAsia="zh-CN"/>
              </w:rPr>
              <w:t xml:space="preserve">安全文明措施费、</w:t>
            </w:r>
            <w:r>
              <w:rPr>
                <w:rFonts w:hint="eastAsia" w:ascii="宋体" w:hAnsi="宋体" w:eastAsia="宋体" w:cs="宋体"/>
                <w:sz w:val="22"/>
                <w:szCs w:val="22"/>
                <w:highlight w:val="none"/>
              </w:rPr>
              <w:t xml:space="preserve">暂列金额</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专业工程暂估价</w:t>
            </w:r>
            <w:r>
              <w:rPr>
                <w:rFonts w:hint="eastAsia" w:ascii="宋体" w:hAnsi="宋体" w:eastAsia="宋体" w:cs="宋体"/>
                <w:sz w:val="22"/>
                <w:szCs w:val="22"/>
                <w:highlight w:val="none"/>
              </w:rPr>
              <w:t xml:space="preserve">等不可竞争费用不下浮）同步下浮执行。结算时以审计后的实际工程量为准，按实结算。</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各供应商应慎重报价，不得恶意降价，若</w:t>
            </w:r>
            <w:r>
              <w:rPr>
                <w:rFonts w:hint="eastAsia" w:ascii="宋体" w:hAnsi="宋体" w:eastAsia="宋体" w:cs="宋体"/>
                <w:sz w:val="22"/>
                <w:szCs w:val="22"/>
                <w:highlight w:val="none"/>
                <w:lang w:val="en-US" w:eastAsia="zh-CN"/>
              </w:rPr>
              <w:t xml:space="preserve">供应商</w:t>
            </w:r>
            <w:r>
              <w:rPr>
                <w:rFonts w:hint="eastAsia" w:ascii="宋体" w:hAnsi="宋体" w:eastAsia="宋体" w:cs="宋体"/>
                <w:sz w:val="22"/>
                <w:szCs w:val="22"/>
                <w:highlight w:val="none"/>
              </w:rPr>
              <w:t xml:space="preserve">存在</w:t>
            </w:r>
            <w:r>
              <w:rPr>
                <w:rFonts w:hint="eastAsia" w:ascii="宋体" w:hAnsi="宋体" w:eastAsia="宋体" w:cs="宋体"/>
                <w:sz w:val="22"/>
                <w:szCs w:val="22"/>
                <w:highlight w:val="none"/>
                <w:lang w:val="en-US" w:eastAsia="zh-CN"/>
              </w:rPr>
              <w:t xml:space="preserve">因报价过低无法履约</w:t>
            </w:r>
            <w:r>
              <w:rPr>
                <w:rFonts w:hint="eastAsia" w:ascii="宋体" w:hAnsi="宋体" w:eastAsia="宋体" w:cs="宋体"/>
                <w:sz w:val="22"/>
                <w:szCs w:val="22"/>
                <w:highlight w:val="none"/>
              </w:rPr>
              <w:t xml:space="preserve">或</w:t>
            </w:r>
            <w:r>
              <w:rPr>
                <w:rFonts w:hint="eastAsia" w:ascii="宋体" w:hAnsi="宋体" w:eastAsia="宋体" w:cs="宋体"/>
                <w:sz w:val="22"/>
                <w:szCs w:val="22"/>
                <w:highlight w:val="none"/>
                <w:lang w:val="en-US" w:eastAsia="zh-CN"/>
              </w:rPr>
              <w:t xml:space="preserve">拒绝缴纳履约保证金或成交</w:t>
            </w:r>
            <w:r>
              <w:rPr>
                <w:rFonts w:hint="eastAsia" w:ascii="宋体" w:hAnsi="宋体" w:eastAsia="宋体" w:cs="宋体"/>
                <w:sz w:val="22"/>
                <w:szCs w:val="22"/>
                <w:highlight w:val="none"/>
              </w:rPr>
              <w:t xml:space="preserve">后无正当理由拒签合同等恶意竞争行为，取消其</w:t>
            </w:r>
            <w:r>
              <w:rPr>
                <w:rFonts w:hint="eastAsia" w:ascii="宋体" w:hAnsi="宋体" w:eastAsia="宋体" w:cs="宋体"/>
                <w:sz w:val="22"/>
                <w:szCs w:val="22"/>
                <w:highlight w:val="none"/>
                <w:lang w:val="en-US" w:eastAsia="zh-CN"/>
              </w:rPr>
              <w:t xml:space="preserve">成交</w:t>
            </w:r>
            <w:r>
              <w:rPr>
                <w:rFonts w:hint="eastAsia" w:ascii="宋体" w:hAnsi="宋体" w:eastAsia="宋体" w:cs="宋体"/>
                <w:sz w:val="22"/>
                <w:szCs w:val="22"/>
                <w:highlight w:val="none"/>
              </w:rPr>
              <w:t xml:space="preserve">资格，采购人将上报监管部门，进行不良行为公示。</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.本工程清单中列明的暂列金额</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专业工程暂估价</w:t>
            </w:r>
            <w:r>
              <w:rPr>
                <w:rFonts w:hint="eastAsia" w:ascii="宋体" w:hAnsi="宋体" w:eastAsia="宋体" w:cs="宋体"/>
                <w:sz w:val="22"/>
                <w:szCs w:val="22"/>
                <w:highlight w:val="none"/>
              </w:rPr>
              <w:t xml:space="preserve">不下浮，由采购人控制使用。</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.本工程中的所有专业施工项目必须由采购人审核把关。</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p>
          <w:p>
            <w:pPr>
              <w:pStyle w:val="1049"/>
              <w:jc w:val="both"/>
              <w:keepLines w:val="0"/>
              <w:keepNext w:val="0"/>
              <w:pageBreakBefore w:val="0"/>
              <w:spacing w:before="0" w:after="0" w:line="24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bidi="ar-SA"/>
              </w:rPr>
              <w:t xml:space="preserve">7.本项目实施时，采购人有权根据实际情况决定清单中部分工程内容是否实施，成交人须无条件配合。结算时，不因工程量的调减而改变成交时的综合单价。</w:t>
            </w:r>
            <w:r/>
          </w:p>
        </w:tc>
      </w:tr>
      <w:tr>
        <w:trPr>
          <w:trHeight w:val="479"/>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.2</w:t>
            </w:r>
            <w:r/>
          </w:p>
        </w:tc>
        <w:tc>
          <w:tcPr>
            <w:gridSpan w:val="2"/>
            <w:tcW w:w="8381" w:type="dxa"/>
            <w:vAlign w:val="center"/>
            <w:textDirection w:val="lrTb"/>
            <w:noWrap w:val="false"/>
          </w:tcPr>
          <w:p>
            <w:pPr>
              <w:jc w:val="both"/>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 xml:space="preserve">友情提醒：请各供应商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供应商引起高度重视。</w:t>
            </w:r>
            <w:r/>
          </w:p>
        </w:tc>
      </w:tr>
      <w:tr>
        <w:trPr>
          <w:trHeight w:val="303"/>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lang w:val="en-US" w:eastAsia="zh-CN"/>
              </w:rPr>
            </w:pPr>
            <w:r>
              <w:rPr>
                <w:rFonts w:hint="eastAsia" w:ascii="宋体" w:hAnsi="宋体" w:eastAsia="宋体" w:cs="宋体"/>
                <w:b/>
                <w:sz w:val="22"/>
                <w:szCs w:val="22"/>
                <w:highlight w:val="none"/>
                <w:lang w:val="en-US" w:eastAsia="zh-CN"/>
              </w:rPr>
              <w:t xml:space="preserve">11.3</w:t>
            </w:r>
            <w:r/>
          </w:p>
        </w:tc>
        <w:tc>
          <w:tcPr>
            <w:gridSpan w:val="2"/>
            <w:tcW w:w="8381" w:type="dxa"/>
            <w:vAlign w:val="center"/>
            <w:textDirection w:val="lrTb"/>
            <w:noWrap w:val="false"/>
          </w:tcPr>
          <w:p>
            <w:pPr>
              <w:jc w:val="both"/>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p>
        </w:tc>
      </w:tr>
      <w:tr>
        <w:trPr>
          <w:trHeight w:val="479"/>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w:t>
            </w:r>
            <w:r>
              <w:rPr>
                <w:rFonts w:hint="eastAsia" w:ascii="宋体" w:hAnsi="宋体" w:eastAsia="宋体" w:cs="宋体"/>
                <w:b/>
                <w:sz w:val="22"/>
                <w:szCs w:val="22"/>
                <w:highlight w:val="none"/>
                <w:lang w:val="en-US" w:eastAsia="zh-CN"/>
              </w:rPr>
              <w:t xml:space="preserve">4</w:t>
            </w:r>
            <w:r/>
          </w:p>
        </w:tc>
        <w:tc>
          <w:tcPr>
            <w:gridSpan w:val="2"/>
            <w:tcW w:w="8381"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本竞争性磋商文件中设置类似工程业绩和奖项的，类似工程业绩和奖项的真实性由采购人负责核实。经查实供应商类似业绩和奖项弄虚作假的，采购人将上报监管部门，进行不良行为公示。</w:t>
            </w:r>
            <w:r/>
          </w:p>
        </w:tc>
      </w:tr>
      <w:tr>
        <w:trPr>
          <w:trHeight w:val="1411"/>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w:t>
            </w:r>
            <w:r>
              <w:rPr>
                <w:rFonts w:hint="eastAsia" w:ascii="宋体" w:hAnsi="宋体" w:eastAsia="宋体" w:cs="宋体"/>
                <w:b/>
                <w:sz w:val="22"/>
                <w:szCs w:val="22"/>
                <w:highlight w:val="none"/>
                <w:lang w:val="en-US" w:eastAsia="zh-CN"/>
              </w:rPr>
              <w:t xml:space="preserve">5</w:t>
            </w:r>
            <w:r/>
          </w:p>
        </w:tc>
        <w:tc>
          <w:tcPr>
            <w:gridSpan w:val="2"/>
            <w:tcW w:w="8381"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类似工程业绩证明材料：</w:t>
            </w:r>
            <w:r>
              <w:rPr>
                <w:rFonts w:hint="eastAsia" w:ascii="宋体" w:hAnsi="宋体" w:eastAsia="宋体" w:cs="宋体"/>
                <w:sz w:val="22"/>
                <w:szCs w:val="22"/>
                <w:highlight w:val="none"/>
                <w:lang w:eastAsia="zh-CN"/>
              </w:rPr>
              <w:t xml:space="preserve">中标（成交）通知书（直接发包通知书）</w:t>
            </w:r>
            <w:r>
              <w:rPr>
                <w:rFonts w:hint="eastAsia" w:ascii="宋体" w:hAnsi="宋体" w:eastAsia="宋体" w:cs="宋体"/>
                <w:sz w:val="22"/>
                <w:szCs w:val="22"/>
                <w:highlight w:val="none"/>
              </w:rPr>
              <w:t xml:space="preserve">、合同协议书，以及竣（完）工验收证明资料</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或其他证明项目完成的佐证资料</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以上材料缺一不可。</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①当业绩证明材料中载明的相关指标不一致时，以数值小的为准。</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②若上述业绩证明材料均不能体现</w:t>
            </w:r>
            <w:r>
              <w:rPr>
                <w:rFonts w:hint="eastAsia" w:ascii="宋体" w:hAnsi="宋体" w:eastAsia="宋体" w:cs="宋体"/>
                <w:sz w:val="22"/>
                <w:szCs w:val="22"/>
                <w:highlight w:val="none"/>
                <w:lang w:val="en-US" w:eastAsia="zh-CN"/>
              </w:rPr>
              <w:t xml:space="preserve">采购文件明确的</w:t>
            </w:r>
            <w:r>
              <w:rPr>
                <w:rFonts w:hint="eastAsia" w:ascii="宋体" w:hAnsi="宋体" w:eastAsia="宋体" w:cs="宋体"/>
                <w:sz w:val="22"/>
                <w:szCs w:val="22"/>
                <w:highlight w:val="none"/>
              </w:rPr>
              <w:t xml:space="preserve">指标的，需提供“其它辅助证明材料”，“其它辅助证明材料”指：“加盖该业绩建设单位公章的书面证明材料”。如上述业绩证明材料能体现</w:t>
            </w:r>
            <w:r>
              <w:rPr>
                <w:rFonts w:hint="eastAsia" w:ascii="宋体" w:hAnsi="宋体" w:eastAsia="宋体" w:cs="宋体"/>
                <w:sz w:val="22"/>
                <w:szCs w:val="22"/>
                <w:highlight w:val="none"/>
                <w:lang w:val="en-US" w:eastAsia="zh-CN"/>
              </w:rPr>
              <w:t xml:space="preserve">采购文件明确的</w:t>
            </w:r>
            <w:r>
              <w:rPr>
                <w:rFonts w:hint="eastAsia" w:ascii="宋体" w:hAnsi="宋体" w:eastAsia="宋体" w:cs="宋体"/>
                <w:sz w:val="22"/>
                <w:szCs w:val="22"/>
                <w:highlight w:val="none"/>
              </w:rPr>
              <w:t xml:space="preserve">指标，但又另行提供“其它辅助证明材料”的，该“其它辅助证明材料”不予认可。</w:t>
            </w:r>
            <w:r/>
          </w:p>
        </w:tc>
      </w:tr>
      <w:tr>
        <w:trPr>
          <w:trHeight w:val="1567"/>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w:t>
            </w:r>
            <w:r>
              <w:rPr>
                <w:rFonts w:hint="eastAsia" w:ascii="宋体" w:hAnsi="宋体" w:eastAsia="宋体" w:cs="宋体"/>
                <w:b/>
                <w:sz w:val="22"/>
                <w:szCs w:val="22"/>
                <w:highlight w:val="none"/>
                <w:lang w:val="en-US" w:eastAsia="zh-CN"/>
              </w:rPr>
              <w:t xml:space="preserve">6</w:t>
            </w:r>
            <w:r/>
          </w:p>
        </w:tc>
        <w:tc>
          <w:tcPr>
            <w:gridSpan w:val="2"/>
            <w:tcW w:w="8381" w:type="dxa"/>
            <w:vAlign w:val="center"/>
            <w:textDirection w:val="lrTb"/>
            <w:noWrap w:val="false"/>
          </w:tcPr>
          <w:p>
            <w:pPr>
              <w:jc w:val="both"/>
              <w:keepLines w:val="0"/>
              <w:keepNext w:val="0"/>
              <w:pageBreakBefore w:val="0"/>
              <w:spacing w:line="240" w:lineRule="auto"/>
              <w:rPr>
                <w:rFonts w:hint="eastAsia" w:ascii="宋体" w:hAnsi="宋体" w:eastAsia="宋体" w:cs="宋体"/>
                <w:b/>
                <w:bCs/>
                <w:color w:val="auto"/>
                <w:sz w:val="22"/>
                <w:szCs w:val="22"/>
                <w:highlight w:val="none"/>
                <w:lang w:val="en-US"/>
              </w:rPr>
            </w:pPr>
            <w:r>
              <w:rPr>
                <w:rFonts w:hint="eastAsia" w:ascii="宋体" w:hAnsi="宋体" w:eastAsia="宋体" w:cs="宋体"/>
                <w:b/>
                <w:bCs/>
                <w:color w:val="auto"/>
                <w:sz w:val="22"/>
                <w:szCs w:val="22"/>
                <w:highlight w:val="none"/>
                <w:lang w:val="en-US"/>
              </w:rPr>
              <w:t xml:space="preserve">动态考核:评标当日，供应商投标所用资质核查结果为不达标的，视为供应商资质条件不符合国家有关规定，或不满足招标文件规定的资格条件。中标公示期间，中标候选人投标所用资质核查结果为不达标的，视为其资质条件不符合国家有关规定。</w:t>
            </w:r>
            <w:r/>
          </w:p>
          <w:p>
            <w:pPr>
              <w:jc w:val="both"/>
              <w:keepLines w:val="0"/>
              <w:keepNext w:val="0"/>
              <w:pageBreakBefore w:val="0"/>
              <w:spacing w:line="24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动态监管不合格资质查询网址：</w:t>
            </w:r>
            <w:r/>
          </w:p>
          <w:p>
            <w:pPr>
              <w:jc w:val="both"/>
              <w:keepLines w:val="0"/>
              <w:keepNext w:val="0"/>
              <w:pageBreakBefore w:val="0"/>
              <w:spacing w:line="240" w:lineRule="auto"/>
              <w:rPr>
                <w:rFonts w:hint="eastAsia" w:ascii="宋体" w:hAnsi="宋体" w:eastAsia="宋体" w:cs="宋体"/>
                <w:b/>
                <w:bCs/>
                <w:color w:val="auto"/>
                <w:sz w:val="22"/>
                <w:szCs w:val="22"/>
                <w:highlight w:val="none"/>
                <w:lang w:eastAsia="zh-CN"/>
              </w:rPr>
            </w:pPr>
            <w:r>
              <w:rPr>
                <w:rFonts w:hint="eastAsia" w:ascii="宋体" w:hAnsi="宋体" w:cs="宋体"/>
                <w:b/>
                <w:bCs/>
                <w:color w:val="auto"/>
                <w:sz w:val="22"/>
                <w:szCs w:val="22"/>
                <w:highlight w:val="none"/>
                <w:lang w:eastAsia="zh-CN"/>
              </w:rPr>
              <w:t xml:space="preserve">https://zhfwpt.jsszfhcxjst.jiangsu.gov.cn:12443/ms/admin/#/open/dthc-list</w:t>
            </w:r>
            <w:r/>
          </w:p>
        </w:tc>
      </w:tr>
    </w:tbl>
    <w:p>
      <w:pPr>
        <w:pStyle w:val="1076"/>
        <w:pageBreakBefore w:val="0"/>
        <w:spacing w:after="0" w:line="360" w:lineRule="auto"/>
        <w:widowControl w:val="off"/>
        <w:rPr>
          <w:rFonts w:hint="eastAsia" w:ascii="宋体" w:hAnsi="宋体" w:eastAsia="宋体" w:cs="宋体"/>
          <w:b/>
          <w:bCs/>
          <w:sz w:val="22"/>
          <w:szCs w:val="22"/>
          <w:highlight w:val="none"/>
          <w:lang w:val="en-US" w:eastAsia="zh-CN" w:bidi="ar-SA"/>
        </w:rPr>
      </w:pPr>
      <w:r/>
      <w:bookmarkStart w:id="40" w:name="_Toc367784995"/>
      <w:r/>
      <w:bookmarkStart w:id="41" w:name="_Toc426469871"/>
      <w:r/>
      <w:bookmarkStart w:id="42" w:name="_Toc468783589"/>
      <w:r>
        <w:rPr>
          <w:rFonts w:hint="eastAsia" w:ascii="宋体" w:hAnsi="宋体" w:eastAsia="宋体" w:cs="宋体"/>
          <w:sz w:val="21"/>
          <w:szCs w:val="24"/>
          <w:highlight w:val="none"/>
          <w:lang w:val="en-US" w:eastAsia="zh-CN" w:bidi="ar-SA"/>
        </w:rPr>
        <w:br w:type="page" w:clear="all"/>
      </w:r>
      <w:r>
        <w:rPr>
          <w:rFonts w:hint="eastAsia" w:ascii="宋体" w:hAnsi="宋体" w:eastAsia="宋体" w:cs="宋体"/>
          <w:b/>
          <w:bCs/>
          <w:sz w:val="22"/>
          <w:szCs w:val="22"/>
          <w:highlight w:val="none"/>
          <w:lang w:val="en-US" w:eastAsia="zh-CN" w:bidi="ar-SA"/>
        </w:rPr>
        <w:t xml:space="preserve">1.总则</w:t>
      </w:r>
      <w:bookmarkEnd w:id="40"/>
      <w:r/>
      <w:bookmarkEnd w:id="41"/>
      <w:r/>
      <w:bookmarkEnd w:id="42"/>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43" w:name="_Toc343525506"/>
      <w:r/>
      <w:bookmarkStart w:id="44" w:name="_Toc179632547"/>
      <w:r/>
      <w:bookmarkStart w:id="45" w:name="_Toc3546"/>
      <w:r/>
      <w:bookmarkStart w:id="46" w:name="_Toc246996176"/>
      <w:r/>
      <w:bookmarkStart w:id="47" w:name="_Toc247085690"/>
      <w:r/>
      <w:bookmarkStart w:id="48" w:name="_Toc468783590"/>
      <w:r/>
      <w:bookmarkStart w:id="49" w:name="_Toc144974498"/>
      <w:r/>
      <w:bookmarkStart w:id="50" w:name="_Toc246996919"/>
      <w:r/>
      <w:bookmarkStart w:id="51" w:name="_Toc383438593"/>
      <w:r/>
      <w:bookmarkStart w:id="52" w:name="_Toc152042306"/>
      <w:r/>
      <w:bookmarkStart w:id="53" w:name="_Toc426469872"/>
      <w:r/>
      <w:bookmarkStart w:id="54" w:name="_Toc152045530"/>
      <w:r/>
      <w:bookmarkStart w:id="55" w:name="_Toc367784996"/>
      <w:r>
        <w:rPr>
          <w:rFonts w:hint="eastAsia" w:ascii="宋体" w:hAnsi="宋体" w:eastAsia="宋体" w:cs="宋体"/>
          <w:b/>
          <w:sz w:val="22"/>
          <w:szCs w:val="22"/>
          <w:highlight w:val="none"/>
        </w:rPr>
        <w:t xml:space="preserve">1.1 项目概况</w:t>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1.1.1根据《中华人民共和国政府采购法》等有关法律、法规和规章的规定，本采购项目已具备采购条件，现对本项目进行竞争性磋商招标。</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1.1.2 采购人：见供应商须知前附表。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1.1.3 采购代理机构：见供应商须知前附表。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1.1.4 项目名称及项目编号：见供应商须知前附表。</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56" w:name="_Toc152042307"/>
      <w:r/>
      <w:bookmarkStart w:id="57" w:name="_Toc426469873"/>
      <w:r/>
      <w:bookmarkStart w:id="58" w:name="_Toc152045531"/>
      <w:r/>
      <w:bookmarkStart w:id="59" w:name="_Toc383438594"/>
      <w:r/>
      <w:bookmarkStart w:id="60" w:name="_Toc247085691"/>
      <w:r/>
      <w:bookmarkStart w:id="61" w:name="_Toc246996920"/>
      <w:r/>
      <w:bookmarkStart w:id="62" w:name="_Toc144974499"/>
      <w:r/>
      <w:bookmarkStart w:id="63" w:name="_Toc246996177"/>
      <w:r/>
      <w:bookmarkStart w:id="64" w:name="_Toc179632548"/>
      <w:r/>
      <w:bookmarkStart w:id="65" w:name="_Toc343525507"/>
      <w:r/>
      <w:bookmarkStart w:id="66" w:name="_Toc468783591"/>
      <w:r>
        <w:rPr>
          <w:rFonts w:hint="eastAsia" w:ascii="宋体" w:hAnsi="宋体" w:eastAsia="宋体" w:cs="宋体"/>
          <w:b/>
          <w:sz w:val="22"/>
          <w:szCs w:val="22"/>
          <w:highlight w:val="none"/>
        </w:rPr>
        <w:t xml:space="preserve">1.2 资金来源和落实情况</w:t>
      </w:r>
      <w:bookmarkEnd w:id="56"/>
      <w:r/>
      <w:bookmarkEnd w:id="57"/>
      <w:r/>
      <w:bookmarkEnd w:id="58"/>
      <w:r/>
      <w:bookmarkEnd w:id="59"/>
      <w:r/>
      <w:bookmarkEnd w:id="60"/>
      <w:r/>
      <w:bookmarkEnd w:id="61"/>
      <w:r/>
      <w:bookmarkEnd w:id="62"/>
      <w:r/>
      <w:bookmarkEnd w:id="63"/>
      <w:r/>
      <w:bookmarkEnd w:id="64"/>
      <w:r/>
      <w:bookmarkEnd w:id="65"/>
      <w:r>
        <w:rPr>
          <w:rFonts w:hint="eastAsia" w:ascii="宋体" w:hAnsi="宋体" w:eastAsia="宋体" w:cs="宋体"/>
          <w:b/>
          <w:sz w:val="22"/>
          <w:szCs w:val="22"/>
          <w:highlight w:val="none"/>
        </w:rPr>
        <w:t xml:space="preserve">及付款方式</w:t>
      </w:r>
      <w:bookmarkEnd w:id="66"/>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1.2.1 资金来源及出资比例：见供应商须知前附表。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1.2.2 资金落实情况：见供应商须知前附表。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1.2.3 付款方式：见供应商须知前附表。</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67" w:name="_Toc246996921"/>
      <w:r/>
      <w:bookmarkStart w:id="68" w:name="_Toc144974500"/>
      <w:r/>
      <w:bookmarkStart w:id="69" w:name="_Toc343525508"/>
      <w:r/>
      <w:bookmarkStart w:id="70" w:name="_Toc246996178"/>
      <w:r/>
      <w:bookmarkStart w:id="71" w:name="_Toc152045532"/>
      <w:r/>
      <w:bookmarkStart w:id="72" w:name="_Toc383438595"/>
      <w:r/>
      <w:bookmarkStart w:id="73" w:name="_Toc247085692"/>
      <w:r/>
      <w:bookmarkStart w:id="74" w:name="_Toc179632549"/>
      <w:r/>
      <w:bookmarkStart w:id="75" w:name="_Toc152042308"/>
      <w:r/>
      <w:bookmarkStart w:id="76" w:name="_Toc426469874"/>
      <w:r/>
      <w:bookmarkStart w:id="77" w:name="_Toc22180"/>
      <w:r/>
      <w:bookmarkStart w:id="78" w:name="_Toc468783592"/>
      <w:r>
        <w:rPr>
          <w:rFonts w:hint="eastAsia" w:ascii="宋体" w:hAnsi="宋体" w:eastAsia="宋体" w:cs="宋体"/>
          <w:b/>
          <w:sz w:val="22"/>
          <w:szCs w:val="22"/>
          <w:highlight w:val="none"/>
        </w:rPr>
        <w:t xml:space="preserve">1.3 </w:t>
      </w:r>
      <w:bookmarkEnd w:id="67"/>
      <w:r/>
      <w:bookmarkEnd w:id="68"/>
      <w:r/>
      <w:bookmarkEnd w:id="69"/>
      <w:r/>
      <w:bookmarkEnd w:id="70"/>
      <w:r/>
      <w:bookmarkEnd w:id="71"/>
      <w:r/>
      <w:bookmarkEnd w:id="72"/>
      <w:r/>
      <w:bookmarkEnd w:id="73"/>
      <w:r/>
      <w:bookmarkEnd w:id="74"/>
      <w:r/>
      <w:bookmarkEnd w:id="75"/>
      <w:r>
        <w:rPr>
          <w:rFonts w:hint="eastAsia" w:ascii="宋体" w:hAnsi="宋体" w:eastAsia="宋体" w:cs="宋体"/>
          <w:b/>
          <w:sz w:val="22"/>
          <w:szCs w:val="22"/>
          <w:highlight w:val="none"/>
        </w:rPr>
        <w:t xml:space="preserve">采购范围</w:t>
      </w:r>
      <w:bookmarkEnd w:id="76"/>
      <w:r>
        <w:rPr>
          <w:rFonts w:hint="eastAsia" w:ascii="宋体" w:hAnsi="宋体" w:eastAsia="宋体" w:cs="宋体"/>
          <w:b/>
          <w:sz w:val="22"/>
          <w:szCs w:val="22"/>
          <w:highlight w:val="none"/>
        </w:rPr>
        <w:t xml:space="preserve">与合同工期</w:t>
      </w:r>
      <w:bookmarkEnd w:id="77"/>
      <w:r/>
      <w:bookmarkEnd w:id="78"/>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1.3.1 采购范围：见供应商须知前附表。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1.3.2 合同工期：见供应商须知前附表。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1.3.3质量要求：见供应商须知前附表。</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79" w:name="_Toc426469875"/>
      <w:r/>
      <w:bookmarkStart w:id="80" w:name="_Toc246996922"/>
      <w:r/>
      <w:bookmarkStart w:id="81" w:name="_Toc246996179"/>
      <w:r/>
      <w:bookmarkStart w:id="82" w:name="_Toc144974502"/>
      <w:r/>
      <w:bookmarkStart w:id="83" w:name="_Toc468783593"/>
      <w:r/>
      <w:bookmarkStart w:id="84" w:name="_Toc152045534"/>
      <w:r/>
      <w:bookmarkStart w:id="85" w:name="_Toc3623"/>
      <w:r/>
      <w:bookmarkStart w:id="86" w:name="_Toc383438596"/>
      <w:r/>
      <w:bookmarkStart w:id="87" w:name="_Toc343525509"/>
      <w:r/>
      <w:bookmarkStart w:id="88" w:name="_Toc247085693"/>
      <w:r/>
      <w:bookmarkStart w:id="89" w:name="_Toc152042310"/>
      <w:r/>
      <w:bookmarkStart w:id="90" w:name="_Toc179632551"/>
      <w:r>
        <w:rPr>
          <w:rFonts w:hint="eastAsia" w:ascii="宋体" w:hAnsi="宋体" w:eastAsia="宋体" w:cs="宋体"/>
          <w:b/>
          <w:sz w:val="22"/>
          <w:szCs w:val="22"/>
          <w:highlight w:val="none"/>
        </w:rPr>
        <w:t xml:space="preserve">1.4 供应商资格要求</w:t>
      </w:r>
      <w:bookmarkEnd w:id="79"/>
      <w:r/>
      <w:bookmarkEnd w:id="80"/>
      <w:r/>
      <w:bookmarkEnd w:id="81"/>
      <w:r/>
      <w:bookmarkEnd w:id="82"/>
      <w:r/>
      <w:bookmarkEnd w:id="83"/>
      <w:r/>
      <w:bookmarkEnd w:id="84"/>
      <w:r/>
      <w:bookmarkEnd w:id="85"/>
      <w:r/>
      <w:bookmarkEnd w:id="86"/>
      <w:r/>
      <w:bookmarkEnd w:id="87"/>
      <w:r/>
      <w:bookmarkEnd w:id="88"/>
      <w:r/>
      <w:bookmarkEnd w:id="89"/>
      <w:r/>
      <w:bookmarkEnd w:id="90"/>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1.4.1供应商参加政府采购活动应当具备下列条件：</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（1）须在中华人民共和国境内依法注册，具有独立承担民事责任的能力。</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（2）具有良好的商业信誉和健全的财务会计制度。</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（3）具有履行合同所必需的设备和专业技术能力。</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（4）有依法缴纳税收和社会保障资金的良好记录；</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（5）参加政府采购活动前三年内，在经营活动中没有重大违法记录。</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（6）法律、行政法规规定的其他条件。</w:t>
      </w:r>
      <w:r/>
    </w:p>
    <w:p>
      <w:pPr>
        <w:jc w:val="left"/>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en-US" w:eastAsia="zh-CN"/>
        </w:rPr>
        <w:t xml:space="preserve">1.4.2</w:t>
      </w:r>
      <w:r>
        <w:rPr>
          <w:rFonts w:hint="eastAsia" w:ascii="宋体" w:hAnsi="宋体" w:eastAsia="宋体" w:cs="宋体"/>
          <w:b/>
          <w:bCs/>
          <w:sz w:val="22"/>
          <w:szCs w:val="22"/>
          <w:highlight w:val="none"/>
        </w:rPr>
        <w:t xml:space="preserve">本项目落实政府采购政策需满足的资格要求：</w:t>
      </w:r>
      <w:r>
        <w:rPr>
          <w:rFonts w:hint="eastAsia" w:ascii="宋体" w:hAnsi="宋体" w:eastAsia="宋体" w:cs="宋体"/>
          <w:b/>
          <w:bCs/>
          <w:sz w:val="22"/>
          <w:szCs w:val="22"/>
          <w:highlight w:val="none"/>
          <w:lang w:val="en-US" w:eastAsia="zh-CN"/>
        </w:rPr>
        <w:t xml:space="preserve">本项目</w:t>
      </w:r>
      <w:r>
        <w:rPr>
          <w:rFonts w:hint="eastAsia" w:ascii="宋体" w:hAnsi="宋体" w:eastAsia="宋体" w:cs="宋体"/>
          <w:b/>
          <w:bCs/>
          <w:sz w:val="22"/>
          <w:szCs w:val="22"/>
          <w:highlight w:val="none"/>
        </w:rPr>
        <w:t xml:space="preserve">专门面向中小企业</w:t>
      </w:r>
      <w:r>
        <w:rPr>
          <w:rFonts w:hint="eastAsia" w:ascii="宋体" w:hAnsi="宋体" w:eastAsia="宋体" w:cs="宋体"/>
          <w:b/>
          <w:bCs/>
          <w:sz w:val="22"/>
          <w:szCs w:val="22"/>
          <w:highlight w:val="none"/>
          <w:lang w:eastAsia="zh-CN"/>
        </w:rPr>
        <w:t xml:space="preserve">，</w:t>
      </w:r>
      <w:r>
        <w:rPr>
          <w:rFonts w:hint="eastAsia" w:ascii="宋体" w:hAnsi="宋体" w:eastAsia="宋体" w:cs="宋体"/>
          <w:b/>
          <w:bCs/>
          <w:sz w:val="22"/>
          <w:szCs w:val="22"/>
          <w:highlight w:val="none"/>
        </w:rPr>
        <w:t xml:space="preserve">供应商应为中小微企业</w:t>
      </w:r>
      <w:r>
        <w:rPr>
          <w:rFonts w:hint="eastAsia" w:ascii="宋体" w:hAnsi="宋体" w:eastAsia="宋体" w:cs="宋体"/>
          <w:b/>
          <w:bCs/>
          <w:sz w:val="22"/>
          <w:szCs w:val="22"/>
          <w:highlight w:val="none"/>
          <w:lang w:val="en-US" w:eastAsia="zh-CN"/>
        </w:rPr>
        <w:t xml:space="preserve">或</w:t>
      </w:r>
      <w:r>
        <w:rPr>
          <w:rFonts w:hint="eastAsia" w:ascii="宋体" w:hAnsi="宋体" w:eastAsia="宋体" w:cs="宋体"/>
          <w:b/>
          <w:bCs/>
          <w:sz w:val="22"/>
          <w:szCs w:val="22"/>
          <w:highlight w:val="none"/>
        </w:rPr>
        <w:t xml:space="preserve">监狱企业</w:t>
      </w:r>
      <w:r>
        <w:rPr>
          <w:rFonts w:hint="eastAsia" w:ascii="宋体" w:hAnsi="宋体" w:eastAsia="宋体" w:cs="宋体"/>
          <w:b/>
          <w:bCs/>
          <w:sz w:val="22"/>
          <w:szCs w:val="22"/>
          <w:highlight w:val="none"/>
          <w:lang w:val="en-US" w:eastAsia="zh-CN"/>
        </w:rPr>
        <w:t xml:space="preserve">或</w:t>
      </w:r>
      <w:r>
        <w:rPr>
          <w:rFonts w:hint="eastAsia" w:ascii="宋体" w:hAnsi="宋体" w:eastAsia="宋体" w:cs="宋体"/>
          <w:b/>
          <w:bCs/>
          <w:sz w:val="22"/>
          <w:szCs w:val="22"/>
          <w:highlight w:val="none"/>
        </w:rPr>
        <w:t xml:space="preserve">残疾人福利性单位。</w:t>
      </w:r>
      <w:r/>
    </w:p>
    <w:p>
      <w:pPr>
        <w:jc w:val="left"/>
        <w:pageBreakBefore w:val="0"/>
        <w:spacing w:line="360" w:lineRule="auto"/>
        <w:widowControl w:val="off"/>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 xml:space="preserve">（1）参加报价的中小企业，应当按照《政府采购促进中小企业发展管理办法》（财库【2020】46号及苏财购【2022】45号文）的规定提供《企业声明函》（中小企业划型标准详见《工业和信息化部、国家统计局、国家发展和改革委员会、财政部关于印发中小企业划型标准规定的通知》工信部联企业〔2011〕300号）。</w:t>
      </w:r>
      <w:r/>
    </w:p>
    <w:p>
      <w:pPr>
        <w:jc w:val="left"/>
        <w:pageBreakBefore w:val="0"/>
        <w:spacing w:line="360" w:lineRule="auto"/>
        <w:widowControl w:val="off"/>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jc w:val="left"/>
        <w:pageBreakBefore w:val="0"/>
        <w:spacing w:line="360" w:lineRule="auto"/>
        <w:widowControl w:val="off"/>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 xml:space="preserve">（3）参加报价的残疾人福利性单位，应根据《关于促进残疾人就业政府采购政策的通知》（财库〔2017〕141号）要求，提供《残疾人福利性单位声明函》，格式见附件。</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b w:val="0"/>
          <w:bCs w:val="0"/>
          <w:sz w:val="22"/>
          <w:szCs w:val="22"/>
          <w:highlight w:val="none"/>
        </w:rPr>
        <w:t xml:space="preserve">（4）参照《关于印发中小企业划型标准规定的通知》（工信部联企业[2011]300号）文件，本项目采购标的所属行业为</w:t>
      </w:r>
      <w:r>
        <w:rPr>
          <w:rFonts w:hint="eastAsia" w:ascii="宋体" w:hAnsi="宋体" w:eastAsia="宋体" w:cs="宋体"/>
          <w:b w:val="0"/>
          <w:bCs w:val="0"/>
          <w:sz w:val="22"/>
          <w:szCs w:val="22"/>
          <w:highlight w:val="none"/>
          <w:u w:val="single"/>
        </w:rPr>
        <w:t xml:space="preserve">建筑业</w:t>
      </w:r>
      <w:r>
        <w:rPr>
          <w:rFonts w:hint="eastAsia" w:ascii="宋体" w:hAnsi="宋体" w:eastAsia="宋体" w:cs="宋体"/>
          <w:b w:val="0"/>
          <w:bCs w:val="0"/>
          <w:sz w:val="22"/>
          <w:szCs w:val="22"/>
          <w:highlight w:val="none"/>
        </w:rPr>
        <w:t xml:space="preserve">。</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采购人根据采购项目的特殊要求，规定供应商的特定条件：见供应商须知前附表。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供应商不得存在下列情形之一：</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（l）与采购人和采购代理机构存在隶属关系或者其他利害关系；</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（2）为采购项目提供了整体设计、规范编制或者项目管理、监理、检测等服务；</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（3）单位负责人为同一人或者存在直接控股、管理关系的不同</w:t>
      </w:r>
      <w:r>
        <w:rPr>
          <w:rFonts w:hint="eastAsia" w:ascii="宋体" w:hAnsi="宋体" w:eastAsia="宋体" w:cs="宋体"/>
          <w:sz w:val="22"/>
          <w:szCs w:val="22"/>
          <w:highlight w:val="none"/>
          <w:lang w:eastAsia="zh-CN"/>
        </w:rPr>
        <w:t xml:space="preserve">供应商</w:t>
      </w:r>
      <w:r>
        <w:rPr>
          <w:rFonts w:hint="eastAsia" w:ascii="宋体" w:hAnsi="宋体" w:eastAsia="宋体" w:cs="宋体"/>
          <w:sz w:val="22"/>
          <w:szCs w:val="22"/>
          <w:highlight w:val="none"/>
        </w:rPr>
        <w:t xml:space="preserve">，参加同一合同项下的政府采购活动；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（4）为采购人不具有独立法人资格的附属机构（单位）；</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）以联合体形式参加政府采购活动的，联合体各方再单独参加或者与其他</w:t>
      </w:r>
      <w:r>
        <w:rPr>
          <w:rFonts w:hint="eastAsia" w:ascii="宋体" w:hAnsi="宋体" w:eastAsia="宋体" w:cs="宋体"/>
          <w:sz w:val="22"/>
          <w:szCs w:val="22"/>
          <w:highlight w:val="none"/>
          <w:lang w:eastAsia="zh-CN"/>
        </w:rPr>
        <w:t xml:space="preserve">供应商</w:t>
      </w:r>
      <w:r>
        <w:rPr>
          <w:rFonts w:hint="eastAsia" w:ascii="宋体" w:hAnsi="宋体" w:eastAsia="宋体" w:cs="宋体"/>
          <w:sz w:val="22"/>
          <w:szCs w:val="22"/>
          <w:highlight w:val="none"/>
        </w:rPr>
        <w:t xml:space="preserve">另外组成联合体参加同一合同项下的政府采购活动；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）处于被责令停业、财产被接管、冻结和破产状态，以及投标资格被取消或者被暂停且在暂停期内；</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）因拖欠工人工资或者发生质量安全事故被有关部门限制在招标项目所在地承接工程的；</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）供应商近3年内有行贿犯罪行为且被记录，或者法定代表人有行贿犯罪记录且自记录之日起未超过5年的；</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）被“信用中国”网站（www.creditchina.gov.cn）列入失信被执行人的；</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10</w:t>
      </w:r>
      <w:r>
        <w:rPr>
          <w:rFonts w:hint="eastAsia" w:ascii="宋体" w:hAnsi="宋体" w:eastAsia="宋体" w:cs="宋体"/>
          <w:sz w:val="22"/>
          <w:szCs w:val="22"/>
          <w:highlight w:val="none"/>
        </w:rPr>
        <w:t xml:space="preserve">）被国家企业信用信息公示系统列入严重违法失信企业名单；</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）法律、行政法规规定的其他</w:t>
      </w:r>
      <w:r>
        <w:rPr>
          <w:rFonts w:hint="eastAsia" w:ascii="宋体" w:hAnsi="宋体" w:eastAsia="宋体" w:cs="宋体"/>
          <w:sz w:val="22"/>
          <w:szCs w:val="22"/>
          <w:highlight w:val="none"/>
          <w:lang w:val="en-US" w:eastAsia="zh-CN"/>
        </w:rPr>
        <w:t xml:space="preserve">情形</w:t>
      </w:r>
      <w:r>
        <w:rPr>
          <w:rFonts w:hint="eastAsia" w:ascii="宋体" w:hAnsi="宋体" w:eastAsia="宋体" w:cs="宋体"/>
          <w:sz w:val="22"/>
          <w:szCs w:val="22"/>
          <w:highlight w:val="none"/>
        </w:rPr>
        <w:t xml:space="preserve">。</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91" w:name="_Toc179632552"/>
      <w:r/>
      <w:bookmarkStart w:id="92" w:name="_Toc152045535"/>
      <w:r/>
      <w:bookmarkStart w:id="93" w:name="_Toc383438597"/>
      <w:r/>
      <w:bookmarkStart w:id="94" w:name="_Toc343525510"/>
      <w:r/>
      <w:bookmarkStart w:id="95" w:name="_Toc11578"/>
      <w:r/>
      <w:bookmarkStart w:id="96" w:name="_Toc426469876"/>
      <w:r/>
      <w:bookmarkStart w:id="97" w:name="_Toc246996923"/>
      <w:r/>
      <w:bookmarkStart w:id="98" w:name="_Toc247085694"/>
      <w:r/>
      <w:bookmarkStart w:id="99" w:name="_Toc246996180"/>
      <w:r/>
      <w:bookmarkStart w:id="100" w:name="_Toc144974503"/>
      <w:r/>
      <w:bookmarkStart w:id="101" w:name="_Toc468783594"/>
      <w:r/>
      <w:bookmarkStart w:id="102" w:name="_Toc152042311"/>
      <w:r>
        <w:rPr>
          <w:rFonts w:hint="eastAsia" w:ascii="宋体" w:hAnsi="宋体" w:eastAsia="宋体" w:cs="宋体"/>
          <w:b/>
          <w:sz w:val="22"/>
          <w:szCs w:val="22"/>
          <w:highlight w:val="none"/>
        </w:rPr>
        <w:t xml:space="preserve">1.5 费用承担</w:t>
      </w:r>
      <w:bookmarkEnd w:id="91"/>
      <w:r/>
      <w:bookmarkEnd w:id="92"/>
      <w:r/>
      <w:bookmarkEnd w:id="93"/>
      <w:r/>
      <w:bookmarkEnd w:id="94"/>
      <w:r/>
      <w:bookmarkEnd w:id="95"/>
      <w:r/>
      <w:bookmarkEnd w:id="96"/>
      <w:r/>
      <w:bookmarkEnd w:id="97"/>
      <w:r/>
      <w:bookmarkEnd w:id="98"/>
      <w:r/>
      <w:bookmarkEnd w:id="99"/>
      <w:r/>
      <w:bookmarkEnd w:id="100"/>
      <w:r/>
      <w:bookmarkEnd w:id="101"/>
      <w:r/>
      <w:bookmarkEnd w:id="102"/>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无论采购结果如何，供应商为准备和参加投标活动发生的费用自理。</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103" w:name="_Toc152045536"/>
      <w:r/>
      <w:bookmarkStart w:id="104" w:name="_Toc468783595"/>
      <w:r/>
      <w:bookmarkStart w:id="105" w:name="_Toc246996181"/>
      <w:r/>
      <w:bookmarkStart w:id="106" w:name="_Toc11741"/>
      <w:r/>
      <w:bookmarkStart w:id="107" w:name="_Toc246996924"/>
      <w:r/>
      <w:bookmarkStart w:id="108" w:name="_Toc144974504"/>
      <w:r/>
      <w:bookmarkStart w:id="109" w:name="_Toc179632553"/>
      <w:r/>
      <w:bookmarkStart w:id="110" w:name="_Toc383438598"/>
      <w:r/>
      <w:bookmarkStart w:id="111" w:name="_Toc343525511"/>
      <w:r/>
      <w:bookmarkStart w:id="112" w:name="_Toc152042312"/>
      <w:r/>
      <w:bookmarkStart w:id="113" w:name="_Toc247085695"/>
      <w:r/>
      <w:bookmarkStart w:id="114" w:name="_Toc426469877"/>
      <w:r>
        <w:rPr>
          <w:rFonts w:hint="eastAsia" w:ascii="宋体" w:hAnsi="宋体" w:eastAsia="宋体" w:cs="宋体"/>
          <w:b/>
          <w:sz w:val="22"/>
          <w:szCs w:val="22"/>
          <w:highlight w:val="none"/>
        </w:rPr>
        <w:t xml:space="preserve">1.6 保密</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参与采购项目招标投标活动的各方应对竞争性磋商文件和供应商响应文件中的商业和技术等秘密保密，违者应对由此造成的后果承担法律责任。</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115" w:name="_Toc144974505"/>
      <w:r/>
      <w:bookmarkStart w:id="116" w:name="_Toc426469878"/>
      <w:r/>
      <w:bookmarkStart w:id="117" w:name="_Toc179632554"/>
      <w:r/>
      <w:bookmarkStart w:id="118" w:name="_Toc152042313"/>
      <w:r/>
      <w:bookmarkStart w:id="119" w:name="_Toc246996182"/>
      <w:r/>
      <w:bookmarkStart w:id="120" w:name="_Toc247085696"/>
      <w:r/>
      <w:bookmarkStart w:id="121" w:name="_Toc383438599"/>
      <w:r/>
      <w:bookmarkStart w:id="122" w:name="_Toc468783596"/>
      <w:r/>
      <w:bookmarkStart w:id="123" w:name="_Toc17998"/>
      <w:r/>
      <w:bookmarkStart w:id="124" w:name="_Toc246996925"/>
      <w:r/>
      <w:bookmarkStart w:id="125" w:name="_Toc152045537"/>
      <w:r/>
      <w:bookmarkStart w:id="126" w:name="_Toc343525512"/>
      <w:r>
        <w:rPr>
          <w:rFonts w:hint="eastAsia" w:ascii="宋体" w:hAnsi="宋体" w:eastAsia="宋体" w:cs="宋体"/>
          <w:b/>
          <w:sz w:val="22"/>
          <w:szCs w:val="22"/>
          <w:highlight w:val="none"/>
        </w:rPr>
        <w:t xml:space="preserve">1.7 语言</w:t>
      </w:r>
      <w:bookmarkEnd w:id="115"/>
      <w:r>
        <w:rPr>
          <w:rFonts w:hint="eastAsia" w:ascii="宋体" w:hAnsi="宋体" w:eastAsia="宋体" w:cs="宋体"/>
          <w:b/>
          <w:sz w:val="22"/>
          <w:szCs w:val="22"/>
          <w:highlight w:val="none"/>
        </w:rPr>
        <w:t xml:space="preserve">文字</w:t>
      </w:r>
      <w:bookmarkEnd w:id="116"/>
      <w:r/>
      <w:bookmarkEnd w:id="117"/>
      <w:r/>
      <w:bookmarkEnd w:id="118"/>
      <w:r/>
      <w:bookmarkEnd w:id="119"/>
      <w:r/>
      <w:bookmarkEnd w:id="120"/>
      <w:r/>
      <w:bookmarkEnd w:id="121"/>
      <w:r/>
      <w:bookmarkEnd w:id="122"/>
      <w:r/>
      <w:bookmarkEnd w:id="123"/>
      <w:r/>
      <w:bookmarkEnd w:id="124"/>
      <w:r/>
      <w:bookmarkEnd w:id="125"/>
      <w:r/>
      <w:bookmarkEnd w:id="126"/>
      <w:r/>
      <w:r/>
    </w:p>
    <w:p>
      <w:pPr>
        <w:ind w:firstLine="210"/>
        <w:jc w:val="left"/>
        <w:pageBreakBefore w:val="0"/>
        <w:spacing w:line="360" w:lineRule="auto"/>
        <w:widowControl w:val="off"/>
        <w:rPr>
          <w:rFonts w:hint="eastAsia" w:ascii="宋体" w:hAnsi="宋体" w:eastAsia="宋体" w:cs="宋体"/>
          <w:sz w:val="22"/>
          <w:szCs w:val="22"/>
          <w:highlight w:val="none"/>
        </w:rPr>
      </w:pPr>
      <w:r/>
      <w:bookmarkStart w:id="127" w:name="_Toc247085697"/>
      <w:r/>
      <w:bookmarkStart w:id="128" w:name="_Toc152042314"/>
      <w:r/>
      <w:bookmarkStart w:id="129" w:name="_Toc152045538"/>
      <w:r/>
      <w:bookmarkStart w:id="130" w:name="_Toc246996183"/>
      <w:r/>
      <w:bookmarkStart w:id="131" w:name="_Toc246996926"/>
      <w:r/>
      <w:bookmarkStart w:id="132" w:name="_Toc179632555"/>
      <w:r/>
      <w:bookmarkStart w:id="133" w:name="_Toc144974506"/>
      <w:r>
        <w:rPr>
          <w:rFonts w:hint="eastAsia" w:ascii="宋体" w:hAnsi="宋体" w:eastAsia="宋体" w:cs="宋体"/>
          <w:sz w:val="22"/>
          <w:szCs w:val="22"/>
          <w:highlight w:val="none"/>
        </w:rPr>
        <w:t xml:space="preserve">招标响应文件使用的语言文字为中文。专用术语使用外文的，应附有中文注释。</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134" w:name="_Toc426469879"/>
      <w:r/>
      <w:bookmarkStart w:id="135" w:name="_Toc468783597"/>
      <w:r/>
      <w:bookmarkStart w:id="136" w:name="_Toc383438600"/>
      <w:r/>
      <w:bookmarkStart w:id="137" w:name="_Toc343525513"/>
      <w:r/>
      <w:bookmarkStart w:id="138" w:name="_Toc21017"/>
      <w:r>
        <w:rPr>
          <w:rFonts w:hint="eastAsia" w:ascii="宋体" w:hAnsi="宋体" w:eastAsia="宋体" w:cs="宋体"/>
          <w:b/>
          <w:sz w:val="22"/>
          <w:szCs w:val="22"/>
          <w:highlight w:val="none"/>
        </w:rPr>
        <w:t xml:space="preserve">1.8 计量单位</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所有计量均采用中华人民共和国法定计量单位。</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139" w:name="_Toc9554"/>
      <w:r/>
      <w:bookmarkStart w:id="140" w:name="_Toc718"/>
      <w:r/>
      <w:bookmarkStart w:id="141" w:name="_Toc21027"/>
      <w:r/>
      <w:bookmarkStart w:id="142" w:name="_Toc389065154"/>
      <w:r/>
      <w:bookmarkStart w:id="143" w:name="_Toc28866"/>
      <w:r/>
      <w:bookmarkStart w:id="144" w:name="_Toc109055296"/>
      <w:r/>
      <w:bookmarkStart w:id="145" w:name="_Toc498006653"/>
      <w:r>
        <w:rPr>
          <w:rFonts w:hint="eastAsia" w:ascii="宋体" w:hAnsi="宋体" w:eastAsia="宋体" w:cs="宋体"/>
          <w:b/>
          <w:sz w:val="22"/>
          <w:szCs w:val="22"/>
          <w:highlight w:val="none"/>
        </w:rPr>
        <w:t xml:space="preserve">1.9 踏勘现场</w:t>
      </w:r>
      <w:bookmarkEnd w:id="139"/>
      <w:r/>
      <w:bookmarkEnd w:id="140"/>
      <w:r/>
      <w:bookmarkEnd w:id="141"/>
      <w:r/>
      <w:bookmarkEnd w:id="142"/>
      <w:r/>
      <w:bookmarkEnd w:id="143"/>
      <w:r/>
      <w:bookmarkEnd w:id="144"/>
      <w:r/>
      <w:bookmarkEnd w:id="145"/>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1.9.1供应商根据需要自行踏勘项目现场。</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1.9.2 供应商踏勘现场发生的费用自理。</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1.9.3供应商自行负责在踏勘现场中所发生的人员伤亡和财产损失。</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146" w:name="_Toc426469880"/>
      <w:r/>
      <w:bookmarkStart w:id="147" w:name="_Toc14878"/>
      <w:r/>
      <w:bookmarkStart w:id="148" w:name="_Toc468783598"/>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10</w:t>
      </w:r>
      <w:r>
        <w:rPr>
          <w:rFonts w:hint="eastAsia" w:ascii="宋体" w:hAnsi="宋体" w:eastAsia="宋体" w:cs="宋体"/>
          <w:b/>
          <w:sz w:val="22"/>
          <w:szCs w:val="22"/>
          <w:highlight w:val="none"/>
        </w:rPr>
        <w:t xml:space="preserve">分包</w:t>
      </w:r>
      <w:bookmarkEnd w:id="146"/>
      <w:r/>
      <w:bookmarkEnd w:id="147"/>
      <w:r/>
      <w:bookmarkEnd w:id="148"/>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本项目不接受分包。</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149" w:name="_Toc9939"/>
      <w:r/>
      <w:bookmarkStart w:id="150" w:name="_Toc426469881"/>
      <w:r/>
      <w:bookmarkStart w:id="151" w:name="_Toc468783599"/>
      <w:r>
        <w:rPr>
          <w:rFonts w:hint="eastAsia" w:ascii="宋体" w:hAnsi="宋体" w:eastAsia="宋体" w:cs="宋体"/>
          <w:b/>
          <w:sz w:val="22"/>
          <w:szCs w:val="22"/>
          <w:highlight w:val="none"/>
        </w:rPr>
        <w:t xml:space="preserve">1.11 偏离</w:t>
      </w:r>
      <w:bookmarkEnd w:id="149"/>
      <w:r/>
      <w:bookmarkEnd w:id="150"/>
      <w:r/>
      <w:bookmarkEnd w:id="151"/>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1.11.2偏离的具体要求见供应商须知前附表。</w:t>
      </w:r>
      <w:r/>
    </w:p>
    <w:p>
      <w:pPr>
        <w:pStyle w:val="1047"/>
        <w:pageBreakBefore w:val="0"/>
        <w:spacing w:before="0" w:after="0" w:line="360" w:lineRule="auto"/>
        <w:widowControl w:val="off"/>
        <w:rPr>
          <w:rFonts w:hint="eastAsia" w:ascii="宋体" w:hAnsi="宋体" w:eastAsia="宋体" w:cs="宋体"/>
          <w:b/>
          <w:sz w:val="22"/>
          <w:szCs w:val="22"/>
          <w:highlight w:val="none"/>
        </w:rPr>
      </w:pPr>
      <w:r/>
      <w:bookmarkStart w:id="152" w:name="_Toc468783600"/>
      <w:r/>
      <w:bookmarkStart w:id="153" w:name="_Toc383438604"/>
      <w:r/>
      <w:bookmarkStart w:id="154" w:name="_Toc426469882"/>
      <w:r/>
      <w:bookmarkStart w:id="155" w:name="_Toc343525517"/>
      <w:r/>
      <w:bookmarkStart w:id="156" w:name="_Toc7163"/>
      <w:r>
        <w:rPr>
          <w:rFonts w:hint="eastAsia" w:ascii="宋体" w:hAnsi="宋体" w:eastAsia="宋体" w:cs="宋体"/>
          <w:b/>
          <w:sz w:val="22"/>
          <w:szCs w:val="22"/>
          <w:highlight w:val="none"/>
        </w:rPr>
        <w:t xml:space="preserve">2. 竞争性磋商文件</w:t>
      </w:r>
      <w:bookmarkEnd w:id="152"/>
      <w:r/>
      <w:bookmarkEnd w:id="153"/>
      <w:r/>
      <w:bookmarkEnd w:id="154"/>
      <w:r/>
      <w:bookmarkEnd w:id="155"/>
      <w:r/>
      <w:bookmarkEnd w:id="156"/>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157" w:name="_Toc247085702"/>
      <w:r/>
      <w:bookmarkStart w:id="158" w:name="_Toc246996188"/>
      <w:r/>
      <w:bookmarkStart w:id="159" w:name="_Toc426469883"/>
      <w:r/>
      <w:bookmarkStart w:id="160" w:name="_Toc246996931"/>
      <w:r/>
      <w:bookmarkStart w:id="161" w:name="_Toc179632561"/>
      <w:r/>
      <w:bookmarkStart w:id="162" w:name="_Toc343525518"/>
      <w:r/>
      <w:bookmarkStart w:id="163" w:name="_Toc144974511"/>
      <w:r/>
      <w:bookmarkStart w:id="164" w:name="_Toc152042319"/>
      <w:r/>
      <w:bookmarkStart w:id="165" w:name="_Toc383438605"/>
      <w:r/>
      <w:bookmarkStart w:id="166" w:name="_Toc468783601"/>
      <w:r/>
      <w:bookmarkStart w:id="167" w:name="_Toc152045543"/>
      <w:r/>
      <w:bookmarkStart w:id="168" w:name="_Toc28959"/>
      <w:r>
        <w:rPr>
          <w:rFonts w:hint="eastAsia" w:ascii="宋体" w:hAnsi="宋体" w:eastAsia="宋体" w:cs="宋体"/>
          <w:b/>
          <w:sz w:val="22"/>
          <w:szCs w:val="22"/>
          <w:highlight w:val="none"/>
        </w:rPr>
        <w:t xml:space="preserve">2.1 竞争性磋商文件的组成</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2.1.1 本竞争性磋商文件包括：</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（1）竞争性磋商公告；</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（2）供应商须知；</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rPr>
          <w:rFonts w:hint="eastAsia" w:ascii="宋体" w:hAnsi="宋体" w:eastAsia="宋体" w:cs="宋体"/>
          <w:sz w:val="22"/>
          <w:szCs w:val="22"/>
          <w:highlight w:val="none"/>
          <w:lang w:val="en-US" w:eastAsia="zh-CN"/>
        </w:rPr>
        <w:t xml:space="preserve">竞争性磋商</w:t>
      </w:r>
      <w:r>
        <w:rPr>
          <w:rFonts w:hint="eastAsia" w:ascii="宋体" w:hAnsi="宋体" w:eastAsia="宋体" w:cs="宋体"/>
          <w:sz w:val="22"/>
          <w:szCs w:val="22"/>
          <w:highlight w:val="none"/>
        </w:rPr>
        <w:t xml:space="preserve">；</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rPr>
          <w:rFonts w:hint="eastAsia" w:ascii="宋体" w:hAnsi="宋体" w:eastAsia="宋体" w:cs="宋体"/>
          <w:sz w:val="22"/>
          <w:szCs w:val="22"/>
          <w:highlight w:val="none"/>
          <w:lang w:eastAsia="zh-CN"/>
        </w:rPr>
        <w:t xml:space="preserve">技术标准和要求</w:t>
      </w:r>
      <w:r>
        <w:rPr>
          <w:rFonts w:hint="eastAsia" w:ascii="宋体" w:hAnsi="宋体" w:eastAsia="宋体" w:cs="宋体"/>
          <w:sz w:val="22"/>
          <w:szCs w:val="22"/>
          <w:highlight w:val="none"/>
        </w:rPr>
        <w:t xml:space="preserve">；</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（5）响应文件的编制及格式；</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（6）供应商须知前附表规定的构成竞争性磋商文件的其他材料。</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2.1.2 根据本章第2.2款和第2.3款对竞争性磋商文件所作的澄清、修改，构成竞争性磋商文件的组成部分。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2.1.3 </w:t>
      </w:r>
      <w:r>
        <w:rPr>
          <w:rFonts w:hint="eastAsia" w:ascii="宋体" w:hAnsi="宋体" w:eastAsia="宋体" w:cs="宋体"/>
          <w:bCs/>
          <w:sz w:val="22"/>
          <w:szCs w:val="22"/>
          <w:highlight w:val="none"/>
        </w:rPr>
        <w:t xml:space="preserve">供应商应认真阅读、并充分理解竞争性磋商文件的全部内容（包括所有的补充、修改内容、重要事项、格式、条款和技术规范、参数及要求等）。供应商没有对竞争性磋商文件作出实质性响应将导致投标无效。</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169" w:name="_Toc152045544"/>
      <w:r/>
      <w:bookmarkStart w:id="170" w:name="_Toc246996189"/>
      <w:r/>
      <w:bookmarkStart w:id="171" w:name="_Toc144974512"/>
      <w:r/>
      <w:bookmarkStart w:id="172" w:name="_Toc24720"/>
      <w:r/>
      <w:bookmarkStart w:id="173" w:name="_Toc179632562"/>
      <w:r/>
      <w:bookmarkStart w:id="174" w:name="_Toc152042320"/>
      <w:r/>
      <w:bookmarkStart w:id="175" w:name="_Toc383438606"/>
      <w:r/>
      <w:bookmarkStart w:id="176" w:name="_Toc468783602"/>
      <w:r/>
      <w:bookmarkStart w:id="177" w:name="_Toc246996932"/>
      <w:r/>
      <w:bookmarkStart w:id="178" w:name="_Toc426469884"/>
      <w:r/>
      <w:bookmarkStart w:id="179" w:name="_Toc247085703"/>
      <w:r/>
      <w:bookmarkStart w:id="180" w:name="_Toc343525519"/>
      <w:r>
        <w:rPr>
          <w:rFonts w:hint="eastAsia" w:ascii="宋体" w:hAnsi="宋体" w:eastAsia="宋体" w:cs="宋体"/>
          <w:b/>
          <w:sz w:val="22"/>
          <w:szCs w:val="22"/>
          <w:highlight w:val="none"/>
        </w:rPr>
        <w:t xml:space="preserve">2.2 竞争性磋商文件的澄清</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2.2.2竞争性磋商文件的澄清将在供应商须知前附表规定的响应截止时间前在原公告信息发布媒体公开发布，但不指明问题的来源。如果澄清内容影响响应文件编制的，将相应延长响应截止时间。</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2.2.3供应商未按澄清后的竞争性磋商文件编制的响应文件有可能被</w:t>
      </w:r>
      <w:r>
        <w:rPr>
          <w:rFonts w:hint="eastAsia" w:ascii="宋体" w:hAnsi="宋体" w:eastAsia="宋体" w:cs="宋体"/>
          <w:sz w:val="22"/>
          <w:szCs w:val="22"/>
          <w:highlight w:val="none"/>
          <w:lang w:eastAsia="zh-CN"/>
        </w:rPr>
        <w:t xml:space="preserve">磋商小组</w:t>
      </w:r>
      <w:r>
        <w:rPr>
          <w:rFonts w:hint="eastAsia" w:ascii="宋体" w:hAnsi="宋体" w:eastAsia="宋体" w:cs="宋体"/>
          <w:sz w:val="22"/>
          <w:szCs w:val="22"/>
          <w:highlight w:val="none"/>
        </w:rPr>
        <w:t xml:space="preserve">否决。</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181" w:name="_Toc383438607"/>
      <w:r/>
      <w:bookmarkStart w:id="182" w:name="_Toc152045545"/>
      <w:r/>
      <w:bookmarkStart w:id="183" w:name="_Toc247085704"/>
      <w:r/>
      <w:bookmarkStart w:id="184" w:name="_Toc152042321"/>
      <w:r/>
      <w:bookmarkStart w:id="185" w:name="_Toc246996933"/>
      <w:r/>
      <w:bookmarkStart w:id="186" w:name="_Toc144974513"/>
      <w:r/>
      <w:bookmarkStart w:id="187" w:name="_Toc179632563"/>
      <w:r/>
      <w:bookmarkStart w:id="188" w:name="_Toc246996190"/>
      <w:r/>
      <w:bookmarkStart w:id="189" w:name="_Toc343525520"/>
      <w:r/>
      <w:bookmarkStart w:id="190" w:name="_Toc468783603"/>
      <w:r/>
      <w:bookmarkStart w:id="191" w:name="_Toc24468"/>
      <w:r/>
      <w:bookmarkStart w:id="192" w:name="_Toc426469885"/>
      <w:r>
        <w:rPr>
          <w:rFonts w:hint="eastAsia" w:ascii="宋体" w:hAnsi="宋体" w:eastAsia="宋体" w:cs="宋体"/>
          <w:b/>
          <w:sz w:val="22"/>
          <w:szCs w:val="22"/>
          <w:highlight w:val="none"/>
        </w:rPr>
        <w:t xml:space="preserve">2.3 竞争性磋商文件的修改</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2.3.1采购人可以修改竞争性磋商文件，修改后的内容是竞争性磋商文件的组成部分，将在原公告信息发布媒体公开发布，修改后的竞争性磋商文件内容对潜在供应商具有约束力。如果修改内容影响响应文件编制的，将相应延长响应截止时间。</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2.3.2潜在供应商应在响应截止时间前，关注招标公告信息发布媒体有无补充文件信息。因潜在供应商自身原因不能及时获知补充文件信息的，采购人及采购代理机构不承担任何责任。潜在供应商未按修改后的竞争性磋商文件编制的响应文件有可能被</w:t>
      </w:r>
      <w:r>
        <w:rPr>
          <w:rFonts w:hint="eastAsia" w:ascii="宋体" w:hAnsi="宋体" w:eastAsia="宋体" w:cs="宋体"/>
          <w:sz w:val="22"/>
          <w:szCs w:val="22"/>
          <w:highlight w:val="none"/>
          <w:lang w:eastAsia="zh-CN"/>
        </w:rPr>
        <w:t xml:space="preserve">磋商小组</w:t>
      </w:r>
      <w:r>
        <w:rPr>
          <w:rFonts w:hint="eastAsia" w:ascii="宋体" w:hAnsi="宋体" w:eastAsia="宋体" w:cs="宋体"/>
          <w:sz w:val="22"/>
          <w:szCs w:val="22"/>
          <w:highlight w:val="none"/>
        </w:rPr>
        <w:t xml:space="preserve">否决。</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2.3.3竞争性磋商文件的澄清或修改涉及到申请人的资格条件、采购标的等实质性内容时，将重新发布竞争性磋商公告。</w:t>
      </w:r>
      <w:r/>
    </w:p>
    <w:p>
      <w:pPr>
        <w:pStyle w:val="1048"/>
        <w:jc w:val="left"/>
        <w:pageBreakBefore w:val="0"/>
        <w:spacing w:before="0" w:after="0" w:line="360" w:lineRule="auto"/>
        <w:widowControl w:val="off"/>
        <w:rPr>
          <w:rFonts w:hint="eastAsia" w:ascii="宋体" w:hAnsi="宋体" w:eastAsia="宋体" w:cs="宋体"/>
          <w:b/>
          <w:sz w:val="22"/>
          <w:szCs w:val="22"/>
          <w:highlight w:val="none"/>
          <w:lang w:val="en-US" w:eastAsia="zh-CN"/>
        </w:rPr>
      </w:pPr>
      <w:r/>
      <w:bookmarkStart w:id="193" w:name="_Toc343525521"/>
      <w:r/>
      <w:bookmarkStart w:id="194" w:name="_Toc426469886"/>
      <w:r/>
      <w:bookmarkStart w:id="195" w:name="_Toc468783604"/>
      <w:r/>
      <w:bookmarkStart w:id="196" w:name="_Toc383438608"/>
      <w:r/>
      <w:bookmarkStart w:id="197" w:name="_Toc27827"/>
      <w:r>
        <w:rPr>
          <w:rFonts w:hint="eastAsia" w:ascii="宋体" w:hAnsi="宋体" w:eastAsia="宋体" w:cs="宋体"/>
          <w:b/>
          <w:sz w:val="22"/>
          <w:szCs w:val="22"/>
          <w:highlight w:val="none"/>
        </w:rPr>
        <w:t xml:space="preserve">2.4 </w:t>
      </w:r>
      <w:bookmarkEnd w:id="193"/>
      <w:r/>
      <w:bookmarkEnd w:id="194"/>
      <w:r/>
      <w:bookmarkEnd w:id="195"/>
      <w:r/>
      <w:bookmarkEnd w:id="196"/>
      <w:r>
        <w:rPr>
          <w:rFonts w:hint="eastAsia" w:ascii="宋体" w:hAnsi="宋体" w:eastAsia="宋体" w:cs="宋体"/>
          <w:b/>
          <w:sz w:val="22"/>
          <w:szCs w:val="22"/>
          <w:highlight w:val="none"/>
          <w:lang w:val="en-US" w:eastAsia="zh-CN"/>
        </w:rPr>
        <w:t xml:space="preserve">采购预算和最高限价</w:t>
      </w:r>
      <w:bookmarkEnd w:id="197"/>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采购预算</w:t>
      </w:r>
      <w:r>
        <w:rPr>
          <w:rFonts w:hint="eastAsia" w:ascii="宋体" w:hAnsi="宋体" w:eastAsia="宋体" w:cs="宋体"/>
          <w:sz w:val="22"/>
          <w:szCs w:val="22"/>
          <w:highlight w:val="none"/>
          <w:lang w:val="en-US" w:eastAsia="zh-CN"/>
        </w:rPr>
        <w:t xml:space="preserve">和最高限价</w:t>
      </w:r>
      <w:r>
        <w:rPr>
          <w:rFonts w:hint="eastAsia" w:ascii="宋体" w:hAnsi="宋体" w:eastAsia="宋体" w:cs="宋体"/>
          <w:sz w:val="22"/>
          <w:szCs w:val="22"/>
          <w:highlight w:val="none"/>
        </w:rPr>
        <w:t xml:space="preserve">具体金额见供应商须知前附表。</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198" w:name="_Toc246996191"/>
      <w:r/>
      <w:bookmarkStart w:id="199" w:name="_Toc152045546"/>
      <w:r/>
      <w:bookmarkStart w:id="200" w:name="_Toc246996934"/>
      <w:r/>
      <w:bookmarkStart w:id="201" w:name="_Toc247085705"/>
      <w:r/>
      <w:bookmarkStart w:id="202" w:name="_Toc152042322"/>
      <w:r/>
      <w:bookmarkStart w:id="203" w:name="_Toc144974514"/>
      <w:r/>
      <w:bookmarkStart w:id="204" w:name="_Toc179632564"/>
      <w:r/>
      <w:bookmarkStart w:id="205" w:name="_Toc343525522"/>
      <w:r/>
      <w:bookmarkStart w:id="206" w:name="_Toc383438609"/>
      <w:r/>
      <w:bookmarkStart w:id="207" w:name="_Toc426469887"/>
      <w:r/>
      <w:bookmarkStart w:id="208" w:name="_Toc4162"/>
      <w:r/>
      <w:bookmarkStart w:id="209" w:name="_Toc367785004"/>
      <w:r/>
      <w:bookmarkStart w:id="210" w:name="_Toc426469889"/>
      <w:r/>
      <w:bookmarkStart w:id="211" w:name="_Toc468783607"/>
      <w:r>
        <w:rPr>
          <w:rFonts w:hint="eastAsia" w:ascii="宋体" w:hAnsi="宋体" w:eastAsia="宋体" w:cs="宋体"/>
          <w:b/>
          <w:sz w:val="22"/>
          <w:szCs w:val="22"/>
          <w:highlight w:val="none"/>
        </w:rPr>
        <w:t xml:space="preserve">3. </w:t>
      </w:r>
      <w:bookmarkEnd w:id="198"/>
      <w:r/>
      <w:bookmarkEnd w:id="199"/>
      <w:r/>
      <w:bookmarkEnd w:id="200"/>
      <w:r/>
      <w:bookmarkEnd w:id="201"/>
      <w:r/>
      <w:bookmarkEnd w:id="202"/>
      <w:r/>
      <w:bookmarkEnd w:id="203"/>
      <w:r/>
      <w:bookmarkEnd w:id="204"/>
      <w:r/>
      <w:bookmarkEnd w:id="205"/>
      <w:r/>
      <w:bookmarkEnd w:id="206"/>
      <w:r/>
      <w:bookmarkEnd w:id="207"/>
      <w:r>
        <w:rPr>
          <w:rFonts w:hint="eastAsia" w:ascii="宋体" w:hAnsi="宋体" w:eastAsia="宋体" w:cs="宋体"/>
          <w:b/>
          <w:sz w:val="22"/>
          <w:szCs w:val="22"/>
          <w:highlight w:val="none"/>
        </w:rPr>
        <w:t xml:space="preserve">响应文件</w:t>
      </w:r>
      <w:bookmarkEnd w:id="208"/>
      <w:r/>
      <w:r/>
    </w:p>
    <w:p>
      <w:pPr>
        <w:pStyle w:val="1048"/>
        <w:jc w:val="left"/>
        <w:pageBreakBefore w:val="0"/>
        <w:spacing w:before="0" w:after="0" w:line="360" w:lineRule="auto"/>
        <w:widowControl w:val="off"/>
        <w:rPr>
          <w:rFonts w:hint="eastAsia" w:ascii="宋体" w:hAnsi="宋体" w:eastAsia="宋体" w:cs="宋体"/>
          <w:sz w:val="22"/>
          <w:szCs w:val="22"/>
          <w:highlight w:val="none"/>
        </w:rPr>
      </w:pPr>
      <w:r/>
      <w:bookmarkStart w:id="212" w:name="_Toc383438610"/>
      <w:r/>
      <w:bookmarkStart w:id="213" w:name="_Toc343525523"/>
      <w:r/>
      <w:bookmarkStart w:id="214" w:name="_Toc152045547"/>
      <w:r/>
      <w:bookmarkStart w:id="215" w:name="_Toc247085706"/>
      <w:r/>
      <w:bookmarkStart w:id="216" w:name="_Toc179632565"/>
      <w:r/>
      <w:bookmarkStart w:id="217" w:name="_Toc246996935"/>
      <w:r/>
      <w:bookmarkStart w:id="218" w:name="_Toc152042323"/>
      <w:r/>
      <w:bookmarkStart w:id="219" w:name="_Toc246996192"/>
      <w:r/>
      <w:bookmarkStart w:id="220" w:name="_Toc144974515"/>
      <w:r/>
      <w:bookmarkStart w:id="221" w:name="_Toc18559"/>
      <w:r/>
      <w:bookmarkStart w:id="222" w:name="_Toc426469888"/>
      <w:r>
        <w:rPr>
          <w:rFonts w:hint="eastAsia" w:ascii="宋体" w:hAnsi="宋体" w:eastAsia="宋体" w:cs="宋体"/>
          <w:sz w:val="22"/>
          <w:szCs w:val="22"/>
          <w:highlight w:val="none"/>
        </w:rPr>
        <w:t xml:space="preserve">3.1</w:t>
      </w:r>
      <w:bookmarkEnd w:id="212"/>
      <w:r/>
      <w:bookmarkEnd w:id="213"/>
      <w:r/>
      <w:bookmarkEnd w:id="214"/>
      <w:r/>
      <w:bookmarkEnd w:id="215"/>
      <w:r/>
      <w:bookmarkEnd w:id="216"/>
      <w:r/>
      <w:bookmarkEnd w:id="217"/>
      <w:r/>
      <w:bookmarkEnd w:id="218"/>
      <w:r/>
      <w:bookmarkEnd w:id="219"/>
      <w:r/>
      <w:bookmarkEnd w:id="220"/>
      <w:r>
        <w:rPr>
          <w:rFonts w:hint="eastAsia" w:ascii="宋体" w:hAnsi="宋体" w:eastAsia="宋体" w:cs="宋体"/>
          <w:sz w:val="22"/>
          <w:szCs w:val="22"/>
          <w:highlight w:val="none"/>
        </w:rPr>
        <w:t xml:space="preserve">响应文件的构成</w:t>
      </w:r>
      <w:bookmarkEnd w:id="221"/>
      <w:r/>
      <w:bookmarkEnd w:id="222"/>
      <w:r/>
      <w:r/>
    </w:p>
    <w:p>
      <w:pPr>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1</w:t>
      </w:r>
      <w:r>
        <w:rPr>
          <w:rFonts w:hint="eastAsia" w:ascii="宋体" w:hAnsi="宋体" w:eastAsia="宋体" w:cs="宋体"/>
          <w:bCs/>
          <w:sz w:val="22"/>
          <w:szCs w:val="22"/>
          <w:highlight w:val="none"/>
        </w:rPr>
        <w:t xml:space="preserve">）磋商报价表</w:t>
      </w:r>
      <w:r/>
    </w:p>
    <w:p>
      <w:pPr>
        <w:pageBreakBefore w:val="0"/>
        <w:spacing w:line="360" w:lineRule="auto"/>
        <w:widowControl w:val="off"/>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2</w:t>
      </w:r>
      <w:r>
        <w:rPr>
          <w:rFonts w:hint="eastAsia" w:ascii="宋体" w:hAnsi="宋体" w:eastAsia="宋体" w:cs="宋体"/>
          <w:bCs/>
          <w:sz w:val="22"/>
          <w:szCs w:val="22"/>
          <w:highlight w:val="none"/>
        </w:rPr>
        <w:t xml:space="preserve">）响应函</w:t>
      </w:r>
      <w:r>
        <w:rPr>
          <w:rFonts w:hint="eastAsia" w:ascii="宋体" w:hAnsi="宋体" w:eastAsia="宋体" w:cs="宋体"/>
          <w:bCs/>
          <w:sz w:val="22"/>
          <w:szCs w:val="22"/>
          <w:highlight w:val="none"/>
          <w:lang w:val="en-US" w:eastAsia="zh-CN"/>
        </w:rPr>
        <w:t xml:space="preserve">及附录</w:t>
      </w:r>
      <w:r/>
    </w:p>
    <w:p>
      <w:pPr>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3</w:t>
      </w:r>
      <w:r>
        <w:rPr>
          <w:rFonts w:hint="eastAsia" w:ascii="宋体" w:hAnsi="宋体" w:eastAsia="宋体" w:cs="宋体"/>
          <w:bCs/>
          <w:sz w:val="22"/>
          <w:szCs w:val="22"/>
          <w:highlight w:val="none"/>
        </w:rPr>
        <w:t xml:space="preserve">）资格及资信证明文件</w:t>
      </w:r>
      <w:r/>
    </w:p>
    <w:p>
      <w:pPr>
        <w:pageBreakBefore w:val="0"/>
        <w:spacing w:line="360" w:lineRule="auto"/>
        <w:widowControl w:val="off"/>
        <w:rPr>
          <w:rFonts w:hint="eastAsia" w:ascii="宋体" w:hAnsi="宋体" w:eastAsia="宋体" w:cs="宋体"/>
          <w:bCs/>
          <w:sz w:val="22"/>
          <w:szCs w:val="22"/>
          <w:highlight w:val="none"/>
          <w:lang w:eastAsia="zh-CN"/>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4</w:t>
      </w: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eastAsia="zh-CN"/>
        </w:rPr>
        <w:t xml:space="preserve">技术标准和要求</w:t>
      </w:r>
      <w:r>
        <w:rPr>
          <w:rFonts w:hint="eastAsia" w:ascii="宋体" w:hAnsi="宋体" w:eastAsia="宋体" w:cs="宋体"/>
          <w:bCs/>
          <w:sz w:val="22"/>
          <w:szCs w:val="22"/>
          <w:highlight w:val="none"/>
        </w:rPr>
        <w:t xml:space="preserve">响应</w:t>
      </w:r>
      <w:r>
        <w:rPr>
          <w:rFonts w:hint="eastAsia" w:ascii="宋体" w:hAnsi="宋体" w:eastAsia="宋体" w:cs="宋体"/>
          <w:bCs/>
          <w:sz w:val="22"/>
          <w:szCs w:val="22"/>
          <w:highlight w:val="none"/>
          <w:lang w:val="en-US" w:eastAsia="zh-CN"/>
        </w:rPr>
        <w:t xml:space="preserve">承诺</w:t>
      </w:r>
      <w:r/>
    </w:p>
    <w:p>
      <w:pPr>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5</w:t>
      </w:r>
      <w:r>
        <w:rPr>
          <w:rFonts w:hint="eastAsia" w:ascii="宋体" w:hAnsi="宋体" w:eastAsia="宋体" w:cs="宋体"/>
          <w:bCs/>
          <w:sz w:val="22"/>
          <w:szCs w:val="22"/>
          <w:highlight w:val="none"/>
        </w:rPr>
        <w:t xml:space="preserve">）企业综合实力证明材料</w:t>
      </w:r>
      <w:r/>
    </w:p>
    <w:p>
      <w:pPr>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6</w:t>
      </w:r>
      <w:r>
        <w:rPr>
          <w:rFonts w:hint="eastAsia" w:ascii="宋体" w:hAnsi="宋体" w:eastAsia="宋体" w:cs="宋体"/>
          <w:bCs/>
          <w:sz w:val="22"/>
          <w:szCs w:val="22"/>
          <w:highlight w:val="none"/>
        </w:rPr>
        <w:t xml:space="preserve">）供应商认为应列入响应文件的其他材料</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223" w:name="_Toc27645"/>
      <w:r>
        <w:rPr>
          <w:rFonts w:hint="eastAsia" w:ascii="宋体" w:hAnsi="宋体" w:eastAsia="宋体" w:cs="宋体"/>
          <w:b/>
          <w:sz w:val="22"/>
          <w:szCs w:val="22"/>
          <w:highlight w:val="none"/>
        </w:rPr>
        <w:t xml:space="preserve">3.2</w:t>
      </w:r>
      <w:bookmarkEnd w:id="209"/>
      <w:r>
        <w:rPr>
          <w:rFonts w:hint="eastAsia" w:ascii="宋体" w:hAnsi="宋体" w:eastAsia="宋体" w:cs="宋体"/>
          <w:sz w:val="22"/>
          <w:szCs w:val="22"/>
          <w:highlight w:val="none"/>
        </w:rPr>
        <w:t xml:space="preserve">报价</w:t>
      </w:r>
      <w:bookmarkEnd w:id="210"/>
      <w:r/>
      <w:bookmarkEnd w:id="211"/>
      <w:r/>
      <w:bookmarkEnd w:id="223"/>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3.2.1 供应商应按竞争性磋商小组经过谈判后提供的竞争性磋商文件中规定的供货及服务</w:t>
      </w:r>
      <w:r>
        <w:rPr>
          <w:rFonts w:hint="eastAsia" w:ascii="宋体" w:hAnsi="宋体" w:eastAsia="宋体" w:cs="宋体"/>
          <w:sz w:val="22"/>
          <w:szCs w:val="22"/>
          <w:highlight w:val="none"/>
          <w:lang w:val="en-US" w:eastAsia="zh-CN"/>
        </w:rPr>
        <w:t xml:space="preserve">及施工</w:t>
      </w:r>
      <w:r>
        <w:rPr>
          <w:rFonts w:hint="eastAsia" w:ascii="宋体" w:hAnsi="宋体" w:eastAsia="宋体" w:cs="宋体"/>
          <w:sz w:val="22"/>
          <w:szCs w:val="22"/>
          <w:highlight w:val="none"/>
        </w:rPr>
        <w:t xml:space="preserve">要求、责任范围和合同条件，以人民币进行报价。</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3.2.2 供应商应按磋商报价表（分项价格表）的内容和格式要求填写各项货物及服务</w:t>
      </w:r>
      <w:r>
        <w:rPr>
          <w:rFonts w:hint="eastAsia" w:ascii="宋体" w:hAnsi="宋体" w:eastAsia="宋体" w:cs="宋体"/>
          <w:sz w:val="22"/>
          <w:szCs w:val="22"/>
          <w:highlight w:val="none"/>
          <w:lang w:val="en-US" w:eastAsia="zh-CN"/>
        </w:rPr>
        <w:t xml:space="preserve">及工程</w:t>
      </w:r>
      <w:r>
        <w:rPr>
          <w:rFonts w:hint="eastAsia" w:ascii="宋体" w:hAnsi="宋体" w:eastAsia="宋体" w:cs="宋体"/>
          <w:sz w:val="22"/>
          <w:szCs w:val="22"/>
          <w:highlight w:val="none"/>
        </w:rPr>
        <w:t xml:space="preserve">的总价（分项价格）。投标总价中不得包含竞争性磋商文件要求以外的内容，否则，在评标时不予核减。投标总价中也不得缺漏竞争性磋商文件所要求的内容，否则，在评标时将其视为无效投标。</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3.2.3供应商对每种货物及服务</w:t>
      </w:r>
      <w:r>
        <w:rPr>
          <w:rFonts w:hint="eastAsia" w:ascii="宋体" w:hAnsi="宋体" w:eastAsia="宋体" w:cs="宋体"/>
          <w:sz w:val="22"/>
          <w:szCs w:val="22"/>
          <w:highlight w:val="none"/>
          <w:lang w:val="en-US" w:eastAsia="zh-CN"/>
        </w:rPr>
        <w:t xml:space="preserve">及工程</w:t>
      </w:r>
      <w:r>
        <w:rPr>
          <w:rFonts w:hint="eastAsia" w:ascii="宋体" w:hAnsi="宋体" w:eastAsia="宋体" w:cs="宋体"/>
          <w:sz w:val="22"/>
          <w:szCs w:val="22"/>
          <w:highlight w:val="none"/>
        </w:rPr>
        <w:t xml:space="preserve">只允许有一个报价，不接受选择性报价，否则，在评标时将其视为无效投标。</w:t>
      </w:r>
      <w:r/>
    </w:p>
    <w:p>
      <w:pPr>
        <w:jc w:val="left"/>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sz w:val="22"/>
          <w:szCs w:val="22"/>
          <w:highlight w:val="none"/>
        </w:rPr>
        <w:t xml:space="preserve">3.2.4</w:t>
      </w:r>
      <w:r>
        <w:rPr>
          <w:rFonts w:hint="eastAsia" w:ascii="宋体" w:hAnsi="宋体" w:eastAsia="宋体" w:cs="宋体"/>
          <w:color w:val="auto"/>
          <w:sz w:val="22"/>
          <w:szCs w:val="22"/>
          <w:highlight w:val="none"/>
        </w:rPr>
        <w:t xml:space="preserve">供应商的投标报价不得超过采购项目最高限价。</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3.2.5供应商无须编制已标价的工程量清单，结算时各单价直接将预算价按照中标下浮率（</w:t>
      </w:r>
      <w:r>
        <w:rPr>
          <w:rFonts w:hint="eastAsia" w:ascii="宋体" w:hAnsi="宋体" w:eastAsia="宋体" w:cs="宋体"/>
          <w:b/>
          <w:sz w:val="22"/>
          <w:szCs w:val="22"/>
          <w:highlight w:val="none"/>
        </w:rPr>
        <w:t xml:space="preserve">特指实际下浮率，</w:t>
      </w:r>
      <w:r>
        <w:rPr>
          <w:rFonts w:hint="eastAsia" w:ascii="宋体" w:hAnsi="宋体" w:eastAsia="宋体" w:cs="宋体"/>
          <w:sz w:val="22"/>
          <w:szCs w:val="22"/>
          <w:highlight w:val="none"/>
        </w:rPr>
        <w:t xml:space="preserve">暂列金额</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专业工程暂估价</w:t>
      </w:r>
      <w:r>
        <w:rPr>
          <w:rFonts w:hint="eastAsia" w:ascii="宋体" w:hAnsi="宋体" w:eastAsia="宋体" w:cs="宋体"/>
          <w:sz w:val="22"/>
          <w:szCs w:val="22"/>
          <w:highlight w:val="none"/>
        </w:rPr>
        <w:t xml:space="preserve">等不可竞争费用不下浮）同步下浮执行。结算时以审计后的实际工程量为准，按实结算。</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3.2.6本项目合同价格形式见供应商须知前附表，各供应商的投标报价应充分考虑“合同条款及格式”所列合同价格风险。</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3.2.7报价的其他要求：</w:t>
      </w:r>
      <w:r>
        <w:rPr>
          <w:rFonts w:hint="eastAsia" w:ascii="宋体" w:hAnsi="宋体" w:eastAsia="宋体" w:cs="宋体"/>
          <w:sz w:val="22"/>
          <w:szCs w:val="22"/>
          <w:highlight w:val="none"/>
        </w:rPr>
        <w:t xml:space="preserve">见供应商须知前附表</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224" w:name="_Toc383438612"/>
      <w:r/>
      <w:bookmarkStart w:id="225" w:name="_Toc247085708"/>
      <w:r/>
      <w:bookmarkStart w:id="226" w:name="_Toc343525525"/>
      <w:r/>
      <w:bookmarkStart w:id="227" w:name="_Toc152045549"/>
      <w:r/>
      <w:bookmarkStart w:id="228" w:name="_Toc144974517"/>
      <w:r/>
      <w:bookmarkStart w:id="229" w:name="_Toc246996937"/>
      <w:r/>
      <w:bookmarkStart w:id="230" w:name="_Toc179632567"/>
      <w:r/>
      <w:bookmarkStart w:id="231" w:name="_Toc246996194"/>
      <w:r/>
      <w:bookmarkStart w:id="232" w:name="_Toc152042325"/>
      <w:r/>
      <w:bookmarkStart w:id="233" w:name="_Toc468783608"/>
      <w:r/>
      <w:bookmarkStart w:id="234" w:name="_Toc426469890"/>
      <w:r/>
      <w:bookmarkStart w:id="235" w:name="_Toc15888"/>
      <w:r>
        <w:rPr>
          <w:rFonts w:hint="eastAsia" w:ascii="宋体" w:hAnsi="宋体" w:eastAsia="宋体" w:cs="宋体"/>
          <w:b/>
          <w:sz w:val="22"/>
          <w:szCs w:val="22"/>
          <w:highlight w:val="none"/>
        </w:rPr>
        <w:t xml:space="preserve">3.3</w:t>
      </w:r>
      <w:bookmarkEnd w:id="224"/>
      <w:r/>
      <w:bookmarkEnd w:id="225"/>
      <w:r/>
      <w:bookmarkEnd w:id="226"/>
      <w:r/>
      <w:bookmarkEnd w:id="227"/>
      <w:r/>
      <w:bookmarkEnd w:id="228"/>
      <w:r/>
      <w:bookmarkEnd w:id="229"/>
      <w:r/>
      <w:bookmarkEnd w:id="230"/>
      <w:r/>
      <w:bookmarkEnd w:id="231"/>
      <w:r/>
      <w:bookmarkEnd w:id="232"/>
      <w:r/>
      <w:bookmarkEnd w:id="233"/>
      <w:r/>
      <w:bookmarkEnd w:id="234"/>
      <w:r>
        <w:rPr>
          <w:rFonts w:hint="eastAsia" w:ascii="宋体" w:hAnsi="宋体" w:eastAsia="宋体" w:cs="宋体"/>
          <w:b/>
          <w:sz w:val="22"/>
          <w:szCs w:val="22"/>
          <w:highlight w:val="none"/>
        </w:rPr>
        <w:t xml:space="preserve">响应有效期</w:t>
      </w:r>
      <w:bookmarkEnd w:id="235"/>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3.3.1 在供应商须知前附表规定的响应有效期内，供应商不得要求撤销或修改其响应文件。</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3.3.2出现特殊情况需要延长响应有效期的，采购人以书面形式通知所有供应商。供应商同意延长的，不得要求或被允许修改或撤销其响应文件；供应商拒绝延长的，其</w:t>
      </w:r>
      <w:r>
        <w:rPr>
          <w:rFonts w:hint="eastAsia" w:ascii="宋体" w:hAnsi="宋体" w:eastAsia="宋体" w:cs="宋体"/>
          <w:sz w:val="22"/>
          <w:szCs w:val="22"/>
          <w:highlight w:val="none"/>
          <w:lang w:val="en-US" w:eastAsia="zh-CN"/>
        </w:rPr>
        <w:t xml:space="preserve">响应</w:t>
      </w:r>
      <w:r>
        <w:rPr>
          <w:rFonts w:hint="eastAsia" w:ascii="宋体" w:hAnsi="宋体" w:eastAsia="宋体" w:cs="宋体"/>
          <w:sz w:val="22"/>
          <w:szCs w:val="22"/>
          <w:highlight w:val="none"/>
        </w:rPr>
        <w:t xml:space="preserve">文件失效。</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236" w:name="_Toc246996938"/>
      <w:r/>
      <w:bookmarkStart w:id="237" w:name="_Toc144974518"/>
      <w:r/>
      <w:bookmarkStart w:id="238" w:name="_Toc468783609"/>
      <w:r/>
      <w:bookmarkStart w:id="239" w:name="_Toc152042326"/>
      <w:r/>
      <w:bookmarkStart w:id="240" w:name="_Toc383438613"/>
      <w:r/>
      <w:bookmarkStart w:id="241" w:name="_Toc426469891"/>
      <w:r/>
      <w:bookmarkStart w:id="242" w:name="_Toc247085709"/>
      <w:r/>
      <w:bookmarkStart w:id="243" w:name="_Toc246996195"/>
      <w:r/>
      <w:bookmarkStart w:id="244" w:name="_Toc152045550"/>
      <w:r/>
      <w:bookmarkStart w:id="245" w:name="_Toc343525526"/>
      <w:r/>
      <w:bookmarkStart w:id="246" w:name="_Toc179632568"/>
      <w:r/>
      <w:bookmarkStart w:id="247" w:name="_Toc28321"/>
      <w:r>
        <w:rPr>
          <w:rFonts w:hint="eastAsia" w:ascii="宋体" w:hAnsi="宋体" w:eastAsia="宋体" w:cs="宋体"/>
          <w:b/>
          <w:sz w:val="22"/>
          <w:szCs w:val="22"/>
          <w:highlight w:val="none"/>
        </w:rPr>
        <w:t xml:space="preserve">3.4 磋商保证金</w:t>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eastAsia="宋体" w:cs="宋体"/>
          <w:b/>
          <w:sz w:val="22"/>
          <w:szCs w:val="22"/>
          <w:highlight w:val="none"/>
        </w:rPr>
        <w:t xml:space="preserve">（无）</w:t>
      </w:r>
      <w:bookmarkEnd w:id="247"/>
      <w:r/>
      <w:r/>
    </w:p>
    <w:p>
      <w:pPr>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3.4.1见供应商须知前附表。</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248" w:name="_Toc426469892"/>
      <w:r/>
      <w:bookmarkStart w:id="249" w:name="_Toc468783610"/>
      <w:r/>
      <w:bookmarkStart w:id="250" w:name="_Toc4927"/>
      <w:r>
        <w:rPr>
          <w:rFonts w:hint="eastAsia" w:ascii="宋体" w:hAnsi="宋体" w:eastAsia="宋体" w:cs="宋体"/>
          <w:b/>
          <w:sz w:val="22"/>
          <w:szCs w:val="22"/>
          <w:highlight w:val="none"/>
        </w:rPr>
        <w:t xml:space="preserve">3.5响应文件的编制</w:t>
      </w:r>
      <w:bookmarkEnd w:id="248"/>
      <w:r/>
      <w:bookmarkEnd w:id="249"/>
      <w:r/>
      <w:bookmarkEnd w:id="250"/>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3.5.1响应文件的编制应按第</w:t>
      </w:r>
      <w:r>
        <w:rPr>
          <w:rFonts w:hint="eastAsia" w:ascii="宋体" w:hAnsi="宋体" w:eastAsia="宋体" w:cs="宋体"/>
          <w:sz w:val="22"/>
          <w:szCs w:val="22"/>
          <w:highlight w:val="none"/>
          <w:lang w:val="en-US" w:eastAsia="zh-CN"/>
        </w:rPr>
        <w:t xml:space="preserve">五</w:t>
      </w:r>
      <w:r>
        <w:rPr>
          <w:rFonts w:hint="eastAsia" w:ascii="宋体" w:hAnsi="宋体" w:eastAsia="宋体" w:cs="宋体"/>
          <w:sz w:val="22"/>
          <w:szCs w:val="22"/>
          <w:highlight w:val="none"/>
        </w:rPr>
        <w:t xml:space="preserve">章“响应文件编制和格式”要求进行编制，供应商需另行增加的，应将相关内容和材料编入响应文件相应章节，作为响应文件的组成部分。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3.5.2 响应文件应当对竞争性磋商文件有关合同工期、响应有效期、技术标准和要求、招标范围等实质性内容作出响应。</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3.5.3响应文件中涉及到的相关的资质、资格、业绩等材料，应按第</w:t>
      </w:r>
      <w:r>
        <w:rPr>
          <w:rFonts w:hint="eastAsia" w:ascii="宋体" w:hAnsi="宋体" w:eastAsia="宋体" w:cs="宋体"/>
          <w:sz w:val="22"/>
          <w:szCs w:val="22"/>
          <w:highlight w:val="none"/>
          <w:lang w:val="en-US" w:eastAsia="zh-CN"/>
        </w:rPr>
        <w:t xml:space="preserve">五</w:t>
      </w:r>
      <w:r>
        <w:rPr>
          <w:rFonts w:hint="eastAsia" w:ascii="宋体" w:hAnsi="宋体" w:eastAsia="宋体" w:cs="宋体"/>
          <w:sz w:val="22"/>
          <w:szCs w:val="22"/>
          <w:highlight w:val="none"/>
        </w:rPr>
        <w:t xml:space="preserve">章“响应文件编制和格式”规定的方式编入响应文件。</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251" w:name="_Toc426469893"/>
      <w:r/>
      <w:bookmarkStart w:id="252" w:name="_Toc468783611"/>
      <w:r/>
      <w:bookmarkStart w:id="253" w:name="_Toc367785014"/>
      <w:r/>
      <w:bookmarkStart w:id="254" w:name="_Toc16999"/>
      <w:r>
        <w:rPr>
          <w:rFonts w:hint="eastAsia" w:ascii="宋体" w:hAnsi="宋体" w:eastAsia="宋体" w:cs="宋体"/>
          <w:b/>
          <w:sz w:val="22"/>
          <w:szCs w:val="22"/>
          <w:highlight w:val="none"/>
        </w:rPr>
        <w:t xml:space="preserve">3.6响应文件的数量和签署</w:t>
      </w:r>
      <w:bookmarkEnd w:id="251"/>
      <w:r/>
      <w:bookmarkEnd w:id="252"/>
      <w:r/>
      <w:bookmarkEnd w:id="253"/>
      <w:r/>
      <w:bookmarkEnd w:id="254"/>
      <w:r/>
      <w:r/>
    </w:p>
    <w:p>
      <w:pPr>
        <w:jc w:val="left"/>
        <w:pageBreakBefore w:val="0"/>
        <w:spacing w:line="360" w:lineRule="auto"/>
        <w:widowControl w:val="off"/>
        <w:rPr>
          <w:rFonts w:hint="eastAsia" w:ascii="宋体" w:hAnsi="宋体" w:eastAsia="宋体" w:cs="宋体"/>
          <w:sz w:val="22"/>
          <w:szCs w:val="22"/>
          <w:highlight w:val="none"/>
        </w:rPr>
      </w:pPr>
      <w:r/>
      <w:bookmarkStart w:id="255" w:name="_Toc383438617"/>
      <w:r/>
      <w:bookmarkStart w:id="256" w:name="_Toc246996942"/>
      <w:r/>
      <w:bookmarkStart w:id="257" w:name="_Toc247085713"/>
      <w:r/>
      <w:bookmarkStart w:id="258" w:name="_Toc144974523"/>
      <w:r/>
      <w:bookmarkStart w:id="259" w:name="_Toc426469895"/>
      <w:r/>
      <w:bookmarkStart w:id="260" w:name="_Toc468783613"/>
      <w:r/>
      <w:bookmarkStart w:id="261" w:name="_Toc152045555"/>
      <w:r/>
      <w:bookmarkStart w:id="262" w:name="_Toc179632573"/>
      <w:r/>
      <w:bookmarkStart w:id="263" w:name="_Toc152042331"/>
      <w:r/>
      <w:bookmarkStart w:id="264" w:name="_Toc343525529"/>
      <w:r/>
      <w:bookmarkStart w:id="265" w:name="_Toc246996199"/>
      <w:r>
        <w:rPr>
          <w:rFonts w:hint="eastAsia" w:ascii="宋体" w:hAnsi="宋体" w:eastAsia="宋体" w:cs="宋体"/>
          <w:sz w:val="22"/>
          <w:szCs w:val="22"/>
          <w:highlight w:val="none"/>
          <w:lang w:val="en-US" w:eastAsia="zh-CN"/>
        </w:rPr>
        <w:t xml:space="preserve">3.6.1</w:t>
      </w:r>
      <w:r>
        <w:rPr>
          <w:rFonts w:hint="eastAsia" w:ascii="宋体" w:hAnsi="宋体" w:eastAsia="宋体" w:cs="宋体"/>
          <w:sz w:val="22"/>
          <w:szCs w:val="22"/>
          <w:highlight w:val="none"/>
        </w:rPr>
        <w:t xml:space="preserve">见供应商须知前附表。</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3.6.2响应文件的签署：响应函、供应商基本资格条件承诺书、中小企业声明函（若需）及其他</w:t>
      </w:r>
      <w:r>
        <w:rPr>
          <w:rFonts w:hint="eastAsia" w:ascii="宋体" w:hAnsi="宋体" w:eastAsia="宋体" w:cs="宋体"/>
          <w:sz w:val="22"/>
          <w:szCs w:val="22"/>
          <w:highlight w:val="none"/>
        </w:rPr>
        <w:t xml:space="preserve">第</w:t>
      </w:r>
      <w:r>
        <w:rPr>
          <w:rFonts w:hint="eastAsia" w:ascii="宋体" w:hAnsi="宋体" w:eastAsia="宋体" w:cs="宋体"/>
          <w:sz w:val="22"/>
          <w:szCs w:val="22"/>
          <w:highlight w:val="none"/>
          <w:lang w:val="en-US" w:eastAsia="zh-CN"/>
        </w:rPr>
        <w:t xml:space="preserve">五</w:t>
      </w:r>
      <w:r>
        <w:rPr>
          <w:rFonts w:hint="eastAsia" w:ascii="宋体" w:hAnsi="宋体" w:eastAsia="宋体" w:cs="宋体"/>
          <w:sz w:val="22"/>
          <w:szCs w:val="22"/>
          <w:highlight w:val="none"/>
        </w:rPr>
        <w:t xml:space="preserve">章“响应文件编制和格式”</w:t>
      </w:r>
      <w:r>
        <w:rPr>
          <w:rFonts w:hint="eastAsia" w:ascii="宋体" w:hAnsi="宋体" w:eastAsia="宋体" w:cs="宋体"/>
          <w:sz w:val="22"/>
          <w:szCs w:val="22"/>
          <w:highlight w:val="none"/>
          <w:lang w:val="en-US" w:eastAsia="zh-CN"/>
        </w:rPr>
        <w:t xml:space="preserve">中要求签字盖章处须加盖供应商</w:t>
      </w:r>
      <w:r>
        <w:rPr>
          <w:rFonts w:hint="eastAsia" w:ascii="宋体" w:hAnsi="宋体" w:cs="宋体"/>
          <w:sz w:val="22"/>
          <w:szCs w:val="22"/>
          <w:highlight w:val="none"/>
          <w:lang w:val="en-US" w:eastAsia="zh-CN"/>
        </w:rPr>
        <w:t xml:space="preserve">公</w:t>
      </w:r>
      <w:r>
        <w:rPr>
          <w:rFonts w:hint="eastAsia" w:ascii="宋体" w:hAnsi="宋体" w:eastAsia="宋体" w:cs="宋体"/>
          <w:sz w:val="22"/>
          <w:szCs w:val="22"/>
          <w:highlight w:val="none"/>
          <w:lang w:val="en-US" w:eastAsia="zh-CN"/>
        </w:rPr>
        <w:t xml:space="preserve">章并经法定代表人或经其授权的代表签字或签章。授权代表签字或签章时，须将《法定代表人授权书》及其附件编制在响应文件中。</w:t>
      </w:r>
      <w:bookmarkEnd w:id="255"/>
      <w:r/>
      <w:bookmarkEnd w:id="256"/>
      <w:r/>
      <w:bookmarkEnd w:id="257"/>
      <w:r/>
      <w:bookmarkEnd w:id="258"/>
      <w:r/>
      <w:bookmarkEnd w:id="259"/>
      <w:r/>
      <w:bookmarkEnd w:id="260"/>
      <w:r/>
      <w:bookmarkEnd w:id="261"/>
      <w:r/>
      <w:bookmarkEnd w:id="262"/>
      <w:r/>
      <w:bookmarkEnd w:id="263"/>
      <w:r/>
      <w:bookmarkEnd w:id="264"/>
      <w:r/>
      <w:bookmarkEnd w:id="265"/>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266" w:name="_Toc144974524"/>
      <w:r/>
      <w:bookmarkStart w:id="267" w:name="_Toc179632574"/>
      <w:r/>
      <w:bookmarkStart w:id="268" w:name="_Toc426469896"/>
      <w:r/>
      <w:bookmarkStart w:id="269" w:name="_Toc152045556"/>
      <w:r/>
      <w:bookmarkStart w:id="270" w:name="_Toc247085714"/>
      <w:r/>
      <w:bookmarkStart w:id="271" w:name="_Toc24087"/>
      <w:r/>
      <w:bookmarkStart w:id="272" w:name="_Toc246996943"/>
      <w:r/>
      <w:bookmarkStart w:id="273" w:name="_Toc468783614"/>
      <w:r/>
      <w:bookmarkStart w:id="274" w:name="_Toc383438618"/>
      <w:r/>
      <w:bookmarkStart w:id="275" w:name="_Toc246996200"/>
      <w:r/>
      <w:bookmarkStart w:id="276" w:name="_Toc343525530"/>
      <w:r/>
      <w:bookmarkStart w:id="277" w:name="_Toc152042332"/>
      <w:r>
        <w:rPr>
          <w:rFonts w:hint="eastAsia" w:ascii="宋体" w:hAnsi="宋体" w:eastAsia="宋体" w:cs="宋体"/>
          <w:b/>
          <w:sz w:val="22"/>
          <w:szCs w:val="22"/>
          <w:highlight w:val="none"/>
          <w:lang w:val="en-US" w:eastAsia="zh-CN"/>
        </w:rPr>
        <w:t xml:space="preserve">3</w:t>
      </w:r>
      <w:r>
        <w:rPr>
          <w:rFonts w:hint="eastAsia" w:ascii="宋体" w:hAnsi="宋体" w:eastAsia="宋体" w:cs="宋体"/>
          <w:b/>
          <w:sz w:val="22"/>
          <w:szCs w:val="22"/>
          <w:highlight w:val="none"/>
        </w:rPr>
        <w:t xml:space="preserve">.</w:t>
      </w:r>
      <w:r>
        <w:rPr>
          <w:rFonts w:hint="eastAsia" w:ascii="宋体" w:hAnsi="宋体" w:eastAsia="宋体" w:cs="宋体"/>
          <w:b/>
          <w:sz w:val="22"/>
          <w:szCs w:val="22"/>
          <w:highlight w:val="none"/>
          <w:lang w:val="en-US" w:eastAsia="zh-CN"/>
        </w:rPr>
        <w:t xml:space="preserve">7</w:t>
      </w:r>
      <w:r>
        <w:rPr>
          <w:rFonts w:hint="eastAsia" w:ascii="宋体" w:hAnsi="宋体" w:eastAsia="宋体" w:cs="宋体"/>
          <w:b/>
          <w:sz w:val="22"/>
          <w:szCs w:val="22"/>
          <w:highlight w:val="none"/>
        </w:rPr>
        <w:t xml:space="preserve">响应文件的递交</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r/>
    </w:p>
    <w:p>
      <w:pPr>
        <w:jc w:val="left"/>
        <w:pageBreakBefore w:val="0"/>
        <w:spacing w:line="360" w:lineRule="auto"/>
        <w:widowControl w:val="off"/>
        <w:rPr>
          <w:rFonts w:hint="eastAsia" w:ascii="宋体" w:hAnsi="宋体" w:eastAsia="宋体" w:cs="宋体"/>
          <w:sz w:val="22"/>
          <w:szCs w:val="22"/>
          <w:highlight w:val="none"/>
        </w:rPr>
      </w:pPr>
      <w:r/>
      <w:bookmarkStart w:id="278" w:name="_Toc152045557"/>
      <w:r/>
      <w:bookmarkStart w:id="279" w:name="_Toc246996944"/>
      <w:r/>
      <w:bookmarkStart w:id="280" w:name="_Toc247085715"/>
      <w:r/>
      <w:bookmarkStart w:id="281" w:name="_Toc152042333"/>
      <w:r/>
      <w:bookmarkStart w:id="282" w:name="_Toc246996201"/>
      <w:r/>
      <w:bookmarkStart w:id="283" w:name="_Toc144974525"/>
      <w:r/>
      <w:bookmarkStart w:id="284" w:name="_Toc343525531"/>
      <w:r/>
      <w:bookmarkStart w:id="285" w:name="_Toc383438619"/>
      <w:r/>
      <w:bookmarkStart w:id="286" w:name="_Toc179632575"/>
      <w:r>
        <w:rPr>
          <w:rFonts w:hint="eastAsia" w:ascii="宋体" w:hAnsi="宋体" w:eastAsia="宋体" w:cs="宋体"/>
          <w:sz w:val="22"/>
          <w:szCs w:val="22"/>
          <w:highlight w:val="none"/>
          <w:lang w:val="en-US" w:eastAsia="zh-CN"/>
        </w:rPr>
        <w:t xml:space="preserve">3.7.1</w:t>
      </w:r>
      <w:r>
        <w:rPr>
          <w:rFonts w:hint="eastAsia" w:ascii="宋体" w:hAnsi="宋体" w:eastAsia="宋体" w:cs="宋体"/>
          <w:sz w:val="22"/>
          <w:szCs w:val="22"/>
          <w:highlight w:val="none"/>
        </w:rPr>
        <w:t xml:space="preserve">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287" w:name="_Toc426469897"/>
      <w:r/>
      <w:bookmarkStart w:id="288" w:name="_Toc468783615"/>
      <w:r/>
      <w:bookmarkStart w:id="289" w:name="_Toc20222"/>
      <w:r>
        <w:rPr>
          <w:rFonts w:hint="eastAsia" w:ascii="宋体" w:hAnsi="宋体" w:eastAsia="宋体" w:cs="宋体"/>
          <w:b/>
          <w:sz w:val="22"/>
          <w:szCs w:val="22"/>
          <w:highlight w:val="none"/>
          <w:lang w:val="en-US" w:eastAsia="zh-CN"/>
        </w:rPr>
        <w:t xml:space="preserve">3.8</w:t>
      </w:r>
      <w:r>
        <w:rPr>
          <w:rFonts w:hint="eastAsia" w:ascii="宋体" w:hAnsi="宋体" w:eastAsia="宋体" w:cs="宋体"/>
          <w:b/>
          <w:sz w:val="22"/>
          <w:szCs w:val="22"/>
          <w:highlight w:val="none"/>
        </w:rPr>
        <w:t xml:space="preserve">响应文件的修改与撤回</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55"/>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290" w:name="_Toc12827"/>
      <w:r/>
      <w:bookmarkStart w:id="291" w:name="_Toc246996203"/>
      <w:r/>
      <w:bookmarkStart w:id="292" w:name="_Toc144974527"/>
      <w:r/>
      <w:bookmarkStart w:id="293" w:name="_Toc383438620"/>
      <w:r/>
      <w:bookmarkStart w:id="294" w:name="_Toc179632577"/>
      <w:r/>
      <w:bookmarkStart w:id="295" w:name="_Toc152045559"/>
      <w:r/>
      <w:bookmarkStart w:id="296" w:name="_Toc152042335"/>
      <w:r/>
      <w:bookmarkStart w:id="297" w:name="_Toc247085717"/>
      <w:r/>
      <w:bookmarkStart w:id="298" w:name="_Toc343525532"/>
      <w:r/>
      <w:bookmarkStart w:id="299" w:name="_Toc468783616"/>
      <w:r/>
      <w:bookmarkStart w:id="300" w:name="_Toc426469898"/>
      <w:r/>
      <w:bookmarkStart w:id="301" w:name="_Toc246996946"/>
      <w:r>
        <w:rPr>
          <w:rFonts w:hint="eastAsia" w:ascii="宋体" w:hAnsi="宋体" w:eastAsia="宋体" w:cs="宋体"/>
          <w:b/>
          <w:sz w:val="22"/>
          <w:szCs w:val="22"/>
          <w:highlight w:val="none"/>
          <w:lang w:val="en-US" w:eastAsia="zh-CN"/>
        </w:rPr>
        <w:t xml:space="preserve">3.9</w:t>
      </w:r>
      <w:r>
        <w:rPr>
          <w:rFonts w:hint="eastAsia" w:ascii="宋体" w:hAnsi="宋体" w:eastAsia="宋体" w:cs="宋体"/>
          <w:b/>
          <w:sz w:val="22"/>
          <w:szCs w:val="22"/>
          <w:highlight w:val="none"/>
        </w:rPr>
        <w:t xml:space="preserve">响应文件的确认</w:t>
      </w:r>
      <w:bookmarkEnd w:id="290"/>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3.9.1供应商可以通过江苏省政府采购管理交易系统（苏采云）多次上传响应文件，以规定的提交首次响应文件截止时间前，江苏省政府采购管理交易系统（苏采云）接受到的最后一份响应文件为准。</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302" w:name="_Toc8765"/>
      <w:r>
        <w:rPr>
          <w:rFonts w:hint="eastAsia" w:ascii="宋体" w:hAnsi="宋体" w:eastAsia="宋体" w:cs="宋体"/>
          <w:b/>
          <w:sz w:val="22"/>
          <w:szCs w:val="22"/>
          <w:highlight w:val="none"/>
          <w:lang w:val="en-US" w:eastAsia="zh-CN"/>
        </w:rPr>
        <w:t xml:space="preserve">3.10</w:t>
      </w:r>
      <w:r>
        <w:rPr>
          <w:rFonts w:hint="eastAsia" w:ascii="宋体" w:hAnsi="宋体" w:eastAsia="宋体" w:cs="宋体"/>
          <w:b/>
          <w:sz w:val="22"/>
          <w:szCs w:val="22"/>
          <w:highlight w:val="none"/>
        </w:rPr>
        <w:t xml:space="preserve">响应文件的拒收</w:t>
      </w:r>
      <w:bookmarkEnd w:id="302"/>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3.10.1在规定的提交首次响应文件截止时间后，江苏省政府采购管理交易系统（苏采云）将不再接受响应文件的上传。</w:t>
      </w:r>
      <w:r/>
    </w:p>
    <w:p>
      <w:pPr>
        <w:pStyle w:val="1047"/>
        <w:pageBreakBefore w:val="0"/>
        <w:spacing w:before="0" w:after="0" w:line="360" w:lineRule="auto"/>
        <w:widowControl w:val="off"/>
        <w:rPr>
          <w:rFonts w:hint="eastAsia" w:ascii="宋体" w:hAnsi="宋体" w:eastAsia="宋体" w:cs="宋体"/>
          <w:b/>
          <w:sz w:val="22"/>
          <w:szCs w:val="22"/>
          <w:highlight w:val="none"/>
        </w:rPr>
      </w:pPr>
      <w:r/>
      <w:bookmarkStart w:id="303" w:name="_Toc5271"/>
      <w:r>
        <w:rPr>
          <w:rFonts w:hint="eastAsia" w:ascii="宋体" w:hAnsi="宋体" w:eastAsia="宋体" w:cs="宋体"/>
          <w:b/>
          <w:sz w:val="22"/>
          <w:szCs w:val="22"/>
          <w:highlight w:val="none"/>
          <w:lang w:val="en-US" w:eastAsia="zh-CN"/>
        </w:rPr>
        <w:t xml:space="preserve">4</w:t>
      </w:r>
      <w:r>
        <w:rPr>
          <w:rFonts w:hint="eastAsia" w:ascii="宋体" w:hAnsi="宋体" w:eastAsia="宋体" w:cs="宋体"/>
          <w:b/>
          <w:sz w:val="22"/>
          <w:szCs w:val="22"/>
          <w:highlight w:val="none"/>
        </w:rPr>
        <w:t xml:space="preserve">. </w:t>
      </w:r>
      <w:bookmarkEnd w:id="291"/>
      <w:r/>
      <w:bookmarkEnd w:id="292"/>
      <w:r/>
      <w:bookmarkEnd w:id="293"/>
      <w:r/>
      <w:bookmarkEnd w:id="294"/>
      <w:r/>
      <w:bookmarkEnd w:id="295"/>
      <w:r/>
      <w:bookmarkEnd w:id="296"/>
      <w:r/>
      <w:bookmarkEnd w:id="297"/>
      <w:r/>
      <w:bookmarkEnd w:id="298"/>
      <w:r/>
      <w:bookmarkEnd w:id="299"/>
      <w:r/>
      <w:bookmarkEnd w:id="300"/>
      <w:r/>
      <w:bookmarkEnd w:id="301"/>
      <w:r>
        <w:rPr>
          <w:rFonts w:hint="eastAsia" w:ascii="宋体" w:hAnsi="宋体" w:eastAsia="宋体" w:cs="宋体"/>
          <w:b/>
          <w:sz w:val="22"/>
          <w:szCs w:val="22"/>
          <w:highlight w:val="none"/>
        </w:rPr>
        <w:t xml:space="preserve">响应文件的开启</w:t>
      </w:r>
      <w:bookmarkEnd w:id="303"/>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304" w:name="_Toc247085718"/>
      <w:r/>
      <w:bookmarkStart w:id="305" w:name="_Toc152045560"/>
      <w:r/>
      <w:bookmarkStart w:id="306" w:name="_Toc152042336"/>
      <w:r/>
      <w:bookmarkStart w:id="307" w:name="_Toc246996947"/>
      <w:r/>
      <w:bookmarkStart w:id="308" w:name="_Toc246996204"/>
      <w:r/>
      <w:bookmarkStart w:id="309" w:name="_Toc383438621"/>
      <w:r/>
      <w:bookmarkStart w:id="310" w:name="_Toc343525533"/>
      <w:r/>
      <w:bookmarkStart w:id="311" w:name="_Toc144974528"/>
      <w:r/>
      <w:bookmarkStart w:id="312" w:name="_Toc426469899"/>
      <w:r/>
      <w:bookmarkStart w:id="313" w:name="_Toc179632578"/>
      <w:r/>
      <w:bookmarkStart w:id="314" w:name="_Toc468783617"/>
      <w:r/>
      <w:bookmarkStart w:id="315" w:name="_Toc1972"/>
      <w:r>
        <w:rPr>
          <w:rFonts w:hint="eastAsia" w:ascii="宋体" w:hAnsi="宋体" w:eastAsia="宋体" w:cs="宋体"/>
          <w:b/>
          <w:sz w:val="22"/>
          <w:szCs w:val="22"/>
          <w:highlight w:val="none"/>
          <w:lang w:val="en-US" w:eastAsia="zh-CN"/>
        </w:rPr>
        <w:t xml:space="preserve">4</w:t>
      </w:r>
      <w:r>
        <w:rPr>
          <w:rFonts w:hint="eastAsia" w:ascii="宋体" w:hAnsi="宋体" w:eastAsia="宋体" w:cs="宋体"/>
          <w:b/>
          <w:sz w:val="22"/>
          <w:szCs w:val="22"/>
          <w:highlight w:val="none"/>
        </w:rPr>
        <w:t xml:space="preserve">.1 </w:t>
      </w:r>
      <w:bookmarkEnd w:id="304"/>
      <w:r/>
      <w:bookmarkEnd w:id="305"/>
      <w:r/>
      <w:bookmarkEnd w:id="306"/>
      <w:r/>
      <w:bookmarkEnd w:id="307"/>
      <w:r/>
      <w:bookmarkEnd w:id="308"/>
      <w:r/>
      <w:bookmarkEnd w:id="309"/>
      <w:r/>
      <w:bookmarkEnd w:id="310"/>
      <w:r/>
      <w:bookmarkEnd w:id="311"/>
      <w:r/>
      <w:bookmarkEnd w:id="312"/>
      <w:r/>
      <w:bookmarkEnd w:id="313"/>
      <w:r/>
      <w:bookmarkEnd w:id="314"/>
      <w:r>
        <w:rPr>
          <w:rFonts w:hint="eastAsia" w:ascii="宋体" w:hAnsi="宋体" w:eastAsia="宋体" w:cs="宋体"/>
          <w:b/>
          <w:sz w:val="22"/>
          <w:szCs w:val="22"/>
          <w:highlight w:val="none"/>
        </w:rPr>
        <w:t xml:space="preserve">响应文件的开启</w:t>
      </w:r>
      <w:bookmarkEnd w:id="315"/>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4.1.1</w:t>
      </w:r>
      <w:r>
        <w:rPr>
          <w:rFonts w:hint="eastAsia" w:ascii="宋体" w:hAnsi="宋体" w:eastAsia="宋体" w:cs="宋体"/>
          <w:sz w:val="22"/>
          <w:szCs w:val="22"/>
          <w:highlight w:val="none"/>
        </w:rPr>
        <w:t xml:space="preserve">响应文件的开启将在“苏采云”系统“开标大厅”内公开进行，供应商应当按照《江苏省政府采购管理交易系统（苏采云）供应商操作手册》规定参加，并在规定的时间内解密响应文件。</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316" w:name="_Toc22670"/>
      <w:r/>
      <w:bookmarkStart w:id="317" w:name="_Toc343525534"/>
      <w:r/>
      <w:bookmarkStart w:id="318" w:name="_Toc383438622"/>
      <w:r/>
      <w:bookmarkStart w:id="319" w:name="_Toc152042337"/>
      <w:r/>
      <w:bookmarkStart w:id="320" w:name="_Toc468783618"/>
      <w:r/>
      <w:bookmarkStart w:id="321" w:name="_Toc426469900"/>
      <w:r/>
      <w:bookmarkStart w:id="322" w:name="_Toc246996948"/>
      <w:r/>
      <w:bookmarkStart w:id="323" w:name="_Toc247085719"/>
      <w:r/>
      <w:bookmarkStart w:id="324" w:name="_Toc179632579"/>
      <w:r/>
      <w:bookmarkStart w:id="325" w:name="_Toc152045561"/>
      <w:r/>
      <w:bookmarkStart w:id="326" w:name="_Toc246996205"/>
      <w:r/>
      <w:bookmarkStart w:id="327" w:name="_Toc144974529"/>
      <w:r>
        <w:rPr>
          <w:rFonts w:hint="eastAsia" w:ascii="宋体" w:hAnsi="宋体" w:eastAsia="宋体" w:cs="宋体"/>
          <w:b/>
          <w:sz w:val="22"/>
          <w:szCs w:val="22"/>
          <w:highlight w:val="none"/>
          <w:lang w:val="en-US" w:eastAsia="zh-CN"/>
        </w:rPr>
        <w:t xml:space="preserve">4</w:t>
      </w:r>
      <w:r>
        <w:rPr>
          <w:rFonts w:hint="eastAsia" w:ascii="宋体" w:hAnsi="宋体" w:eastAsia="宋体" w:cs="宋体"/>
          <w:b/>
          <w:sz w:val="22"/>
          <w:szCs w:val="22"/>
          <w:highlight w:val="none"/>
        </w:rPr>
        <w:t xml:space="preserve">.</w:t>
      </w:r>
      <w:r>
        <w:rPr>
          <w:rFonts w:hint="eastAsia" w:ascii="宋体" w:hAnsi="宋体" w:eastAsia="宋体" w:cs="宋体"/>
          <w:b/>
          <w:sz w:val="22"/>
          <w:szCs w:val="22"/>
          <w:highlight w:val="none"/>
          <w:lang w:val="en-US" w:eastAsia="zh-CN"/>
        </w:rPr>
        <w:t xml:space="preserve">2</w:t>
      </w:r>
      <w:r>
        <w:rPr>
          <w:rFonts w:hint="eastAsia" w:ascii="宋体" w:hAnsi="宋体" w:eastAsia="宋体" w:cs="宋体"/>
          <w:b/>
          <w:sz w:val="22"/>
          <w:szCs w:val="22"/>
          <w:highlight w:val="none"/>
        </w:rPr>
        <w:t xml:space="preserve"> 特殊情况的处置</w:t>
      </w:r>
      <w:bookmarkEnd w:id="316"/>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4.2.1在提交响应文件截止时间后，不见面开标系统出现下列情况之一时，响应文件未开启的，暂停开启活动；正在开启的，立即暂停，待系统恢复正常后再组织。</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（1）系统服务器发生故障，无法访问或无法使用系统；</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（2）系统的软件或数据库出现错误，不能进行正常操作；</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（3）系统发现有安全漏洞，有潜在的泄密危险；</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（4）其他无法保证信息安全的情形。</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4.2.2因供应商自身原因造成响应文件无法解密的，视为撤销响应文件。</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4.2.3供应商对响应文件开启活动或开启结果等有疑义的，可向采购人提出。</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4.2.4供应商未在系统中确认开启结果的，视同认可开启结果。</w:t>
      </w:r>
      <w:bookmarkEnd w:id="317"/>
      <w:r/>
      <w:bookmarkEnd w:id="318"/>
      <w:r/>
      <w:bookmarkEnd w:id="319"/>
      <w:r/>
      <w:bookmarkEnd w:id="320"/>
      <w:r/>
      <w:bookmarkEnd w:id="321"/>
      <w:r/>
      <w:bookmarkEnd w:id="322"/>
      <w:r/>
      <w:bookmarkEnd w:id="323"/>
      <w:r/>
      <w:bookmarkEnd w:id="324"/>
      <w:r/>
      <w:bookmarkEnd w:id="325"/>
      <w:r/>
      <w:bookmarkEnd w:id="326"/>
      <w:r/>
      <w:bookmarkEnd w:id="327"/>
      <w:r/>
      <w:r/>
    </w:p>
    <w:p>
      <w:pPr>
        <w:pStyle w:val="1047"/>
        <w:pageBreakBefore w:val="0"/>
        <w:spacing w:before="0" w:after="0" w:line="360" w:lineRule="auto"/>
        <w:widowControl w:val="off"/>
        <w:rPr>
          <w:rFonts w:hint="eastAsia" w:ascii="宋体" w:hAnsi="宋体" w:eastAsia="宋体" w:cs="宋体"/>
          <w:b/>
          <w:sz w:val="22"/>
          <w:szCs w:val="22"/>
          <w:highlight w:val="none"/>
          <w:lang w:eastAsia="zh-CN"/>
        </w:rPr>
      </w:pPr>
      <w:r/>
      <w:bookmarkStart w:id="328" w:name="_Toc152045562"/>
      <w:r/>
      <w:bookmarkStart w:id="329" w:name="_Toc426469902"/>
      <w:r/>
      <w:bookmarkStart w:id="330" w:name="_Toc144974530"/>
      <w:r/>
      <w:bookmarkStart w:id="331" w:name="_Toc152042338"/>
      <w:r/>
      <w:bookmarkStart w:id="332" w:name="_Toc468783620"/>
      <w:r/>
      <w:bookmarkStart w:id="333" w:name="_Toc247085720"/>
      <w:r/>
      <w:bookmarkStart w:id="334" w:name="_Toc246996949"/>
      <w:r/>
      <w:bookmarkStart w:id="335" w:name="_Toc246996206"/>
      <w:r/>
      <w:bookmarkStart w:id="336" w:name="_Toc383438625"/>
      <w:r/>
      <w:bookmarkStart w:id="337" w:name="_Toc179632580"/>
      <w:r/>
      <w:bookmarkStart w:id="338" w:name="_Toc343525537"/>
      <w:r/>
      <w:bookmarkStart w:id="339" w:name="_Toc3422"/>
      <w:r>
        <w:rPr>
          <w:rFonts w:hint="eastAsia" w:ascii="宋体" w:hAnsi="宋体" w:eastAsia="宋体" w:cs="宋体"/>
          <w:b/>
          <w:sz w:val="22"/>
          <w:szCs w:val="22"/>
          <w:highlight w:val="none"/>
          <w:lang w:val="en-US" w:eastAsia="zh-CN"/>
        </w:rPr>
        <w:t xml:space="preserve">5</w:t>
      </w:r>
      <w:r>
        <w:rPr>
          <w:rFonts w:hint="eastAsia" w:ascii="宋体" w:hAnsi="宋体" w:eastAsia="宋体" w:cs="宋体"/>
          <w:b/>
          <w:sz w:val="22"/>
          <w:szCs w:val="22"/>
          <w:highlight w:val="none"/>
        </w:rPr>
        <w:t xml:space="preserve">. </w:t>
      </w:r>
      <w:bookmarkEnd w:id="328"/>
      <w:r/>
      <w:bookmarkEnd w:id="329"/>
      <w:r/>
      <w:bookmarkEnd w:id="330"/>
      <w:r/>
      <w:bookmarkEnd w:id="331"/>
      <w:r/>
      <w:bookmarkEnd w:id="332"/>
      <w:r/>
      <w:bookmarkEnd w:id="333"/>
      <w:r/>
      <w:bookmarkEnd w:id="334"/>
      <w:r/>
      <w:bookmarkEnd w:id="335"/>
      <w:r/>
      <w:bookmarkEnd w:id="336"/>
      <w:r/>
      <w:bookmarkEnd w:id="337"/>
      <w:r/>
      <w:bookmarkEnd w:id="338"/>
      <w:r>
        <w:rPr>
          <w:rFonts w:hint="eastAsia" w:ascii="宋体" w:hAnsi="宋体" w:eastAsia="宋体" w:cs="宋体"/>
          <w:b/>
          <w:sz w:val="22"/>
          <w:szCs w:val="22"/>
          <w:highlight w:val="none"/>
        </w:rPr>
        <w:t xml:space="preserve">响应文件的评审</w:t>
      </w:r>
      <w:bookmarkEnd w:id="339"/>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340" w:name="_Toc246996207"/>
      <w:r/>
      <w:bookmarkStart w:id="341" w:name="_Toc343525538"/>
      <w:r/>
      <w:bookmarkStart w:id="342" w:name="_Toc179632581"/>
      <w:r/>
      <w:bookmarkStart w:id="343" w:name="_Toc468783621"/>
      <w:r/>
      <w:bookmarkStart w:id="344" w:name="_Toc247085721"/>
      <w:r/>
      <w:bookmarkStart w:id="345" w:name="_Toc246996950"/>
      <w:r/>
      <w:bookmarkStart w:id="346" w:name="_Toc426469903"/>
      <w:r/>
      <w:bookmarkStart w:id="347" w:name="_Toc144974531"/>
      <w:r/>
      <w:bookmarkStart w:id="348" w:name="_Toc152045563"/>
      <w:r/>
      <w:bookmarkStart w:id="349" w:name="_Toc152042339"/>
      <w:r/>
      <w:bookmarkStart w:id="350" w:name="_Toc383438626"/>
      <w:r/>
      <w:bookmarkStart w:id="351" w:name="_Toc18180"/>
      <w:r>
        <w:rPr>
          <w:rFonts w:hint="eastAsia" w:ascii="宋体" w:hAnsi="宋体" w:eastAsia="宋体" w:cs="宋体"/>
          <w:b/>
          <w:sz w:val="22"/>
          <w:szCs w:val="22"/>
          <w:highlight w:val="none"/>
          <w:lang w:val="en-US" w:eastAsia="zh-CN"/>
        </w:rPr>
        <w:t xml:space="preserve">5</w:t>
      </w:r>
      <w:r>
        <w:rPr>
          <w:rFonts w:hint="eastAsia" w:ascii="宋体" w:hAnsi="宋体" w:eastAsia="宋体" w:cs="宋体"/>
          <w:b/>
          <w:sz w:val="22"/>
          <w:szCs w:val="22"/>
          <w:highlight w:val="none"/>
        </w:rPr>
        <w:t xml:space="preserve">.1 </w:t>
      </w:r>
      <w:bookmarkEnd w:id="340"/>
      <w:r/>
      <w:bookmarkEnd w:id="341"/>
      <w:r/>
      <w:bookmarkEnd w:id="342"/>
      <w:r/>
      <w:bookmarkEnd w:id="343"/>
      <w:r/>
      <w:bookmarkEnd w:id="344"/>
      <w:r/>
      <w:bookmarkEnd w:id="345"/>
      <w:r/>
      <w:bookmarkEnd w:id="346"/>
      <w:r/>
      <w:bookmarkEnd w:id="347"/>
      <w:r/>
      <w:bookmarkEnd w:id="348"/>
      <w:r/>
      <w:bookmarkEnd w:id="349"/>
      <w:r/>
      <w:bookmarkEnd w:id="350"/>
      <w:r>
        <w:rPr>
          <w:rFonts w:hint="eastAsia" w:ascii="宋体" w:hAnsi="宋体" w:eastAsia="宋体" w:cs="宋体"/>
          <w:b/>
          <w:sz w:val="22"/>
          <w:szCs w:val="22"/>
          <w:highlight w:val="none"/>
        </w:rPr>
        <w:t xml:space="preserve">磋商小组</w:t>
      </w:r>
      <w:bookmarkEnd w:id="351"/>
      <w:r/>
      <w:r/>
    </w:p>
    <w:p>
      <w:pPr>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.1.1 响应文件的评审工作由采购人依法组建的竞争性磋商小组负责。</w:t>
      </w:r>
      <w:r>
        <w:rPr>
          <w:rFonts w:hint="eastAsia" w:ascii="宋体" w:hAnsi="宋体" w:eastAsia="宋体" w:cs="宋体"/>
          <w:color w:val="auto"/>
          <w:sz w:val="22"/>
          <w:szCs w:val="22"/>
          <w:highlight w:val="none"/>
        </w:rPr>
        <w:t xml:space="preserve">磋商小组由采购人代表，以及有关技术、经济等方面的专家组成</w:t>
      </w:r>
      <w:r>
        <w:rPr>
          <w:rFonts w:hint="eastAsia" w:ascii="宋体" w:hAnsi="宋体" w:eastAsia="宋体" w:cs="宋体"/>
          <w:sz w:val="22"/>
          <w:szCs w:val="22"/>
          <w:highlight w:val="none"/>
        </w:rPr>
        <w:t xml:space="preserve">，且符合现行的政府采购相关规定。具体人数见供应商须知前附表。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.1.2 磋商小组成员有下列情形之一的，应当回避：</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（1）参加采购活动前三年内，与供应商存在劳动关系，或者担任过供应商的董事、监事，或者是供应商的控股股东或实际控制人；</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（2）与供应商的法定代表人或者负责人有夫妻、直系血亲、三代以内旁系血亲或者近姻亲关系；</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（3）与供应商有其他可能影响政府采购活动公平、公正进行的关系；</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（4）法律、行政法规规定的其他条件。</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352" w:name="_Toc152045564"/>
      <w:r/>
      <w:bookmarkStart w:id="353" w:name="_Toc246996951"/>
      <w:r/>
      <w:bookmarkStart w:id="354" w:name="_Toc26432"/>
      <w:r/>
      <w:bookmarkStart w:id="355" w:name="_Toc144974532"/>
      <w:r/>
      <w:bookmarkStart w:id="356" w:name="_Toc468783622"/>
      <w:r/>
      <w:bookmarkStart w:id="357" w:name="_Toc246996208"/>
      <w:r/>
      <w:bookmarkStart w:id="358" w:name="_Toc179632582"/>
      <w:r/>
      <w:bookmarkStart w:id="359" w:name="_Toc247085722"/>
      <w:r/>
      <w:bookmarkStart w:id="360" w:name="_Toc152042340"/>
      <w:r/>
      <w:bookmarkStart w:id="361" w:name="_Toc383438627"/>
      <w:r/>
      <w:bookmarkStart w:id="362" w:name="_Toc426469904"/>
      <w:r/>
      <w:bookmarkStart w:id="363" w:name="_Toc343525539"/>
      <w:r>
        <w:rPr>
          <w:rFonts w:hint="eastAsia" w:ascii="宋体" w:hAnsi="宋体" w:eastAsia="宋体" w:cs="宋体"/>
          <w:b/>
          <w:sz w:val="22"/>
          <w:szCs w:val="22"/>
          <w:highlight w:val="none"/>
          <w:lang w:val="en-US" w:eastAsia="zh-CN"/>
        </w:rPr>
        <w:t xml:space="preserve">5</w:t>
      </w:r>
      <w:r>
        <w:rPr>
          <w:rFonts w:hint="eastAsia" w:ascii="宋体" w:hAnsi="宋体" w:eastAsia="宋体" w:cs="宋体"/>
          <w:b/>
          <w:sz w:val="22"/>
          <w:szCs w:val="22"/>
          <w:highlight w:val="none"/>
        </w:rPr>
        <w:t xml:space="preserve">.2 评</w:t>
      </w:r>
      <w:r>
        <w:rPr>
          <w:rFonts w:hint="eastAsia" w:ascii="宋体" w:hAnsi="宋体" w:eastAsia="宋体" w:cs="宋体"/>
          <w:b/>
          <w:sz w:val="22"/>
          <w:szCs w:val="22"/>
          <w:highlight w:val="none"/>
          <w:lang w:val="en-US" w:eastAsia="zh-CN"/>
        </w:rPr>
        <w:t xml:space="preserve">审</w:t>
      </w:r>
      <w:r>
        <w:rPr>
          <w:rFonts w:hint="eastAsia" w:ascii="宋体" w:hAnsi="宋体" w:eastAsia="宋体" w:cs="宋体"/>
          <w:b/>
          <w:sz w:val="22"/>
          <w:szCs w:val="22"/>
          <w:highlight w:val="none"/>
        </w:rPr>
        <w:t xml:space="preserve">原则</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评审活动遵循公正、客观、审慎的原则。磋商小组严格按照本竞争性磋商文件第三章规定的评审程序和标准进行独立评审。本文件中没有规定的评审标准，不得作为评审依据。</w:t>
      </w:r>
      <w:r/>
    </w:p>
    <w:p>
      <w:pPr>
        <w:pStyle w:val="1047"/>
        <w:pageBreakBefore w:val="0"/>
        <w:spacing w:before="0" w:after="0" w:line="360" w:lineRule="auto"/>
        <w:widowControl w:val="off"/>
        <w:rPr>
          <w:rFonts w:hint="eastAsia" w:ascii="宋体" w:hAnsi="宋体" w:eastAsia="宋体" w:cs="宋体"/>
          <w:b/>
          <w:sz w:val="22"/>
          <w:szCs w:val="22"/>
          <w:highlight w:val="none"/>
          <w:lang w:eastAsia="zh-CN"/>
        </w:rPr>
      </w:pPr>
      <w:r/>
      <w:bookmarkStart w:id="364" w:name="_Toc383438629"/>
      <w:r/>
      <w:bookmarkStart w:id="365" w:name="_Toc426469906"/>
      <w:r/>
      <w:bookmarkStart w:id="366" w:name="_Toc468783624"/>
      <w:r/>
      <w:bookmarkStart w:id="367" w:name="_Toc24246"/>
      <w:r>
        <w:rPr>
          <w:rFonts w:hint="eastAsia" w:ascii="宋体" w:hAnsi="宋体" w:eastAsia="宋体" w:cs="宋体"/>
          <w:b/>
          <w:sz w:val="22"/>
          <w:szCs w:val="22"/>
          <w:highlight w:val="none"/>
          <w:lang w:val="en-US" w:eastAsia="zh-CN"/>
        </w:rPr>
        <w:t xml:space="preserve">6</w:t>
      </w:r>
      <w:r>
        <w:rPr>
          <w:rFonts w:hint="eastAsia" w:ascii="宋体" w:hAnsi="宋体" w:eastAsia="宋体" w:cs="宋体"/>
          <w:b/>
          <w:sz w:val="22"/>
          <w:szCs w:val="22"/>
          <w:highlight w:val="none"/>
        </w:rPr>
        <w:t xml:space="preserve">. </w:t>
      </w:r>
      <w:bookmarkEnd w:id="364"/>
      <w:r/>
      <w:bookmarkEnd w:id="365"/>
      <w:r/>
      <w:bookmarkEnd w:id="366"/>
      <w:r>
        <w:rPr>
          <w:rFonts w:hint="eastAsia" w:ascii="宋体" w:hAnsi="宋体" w:eastAsia="宋体" w:cs="宋体"/>
          <w:b/>
          <w:sz w:val="22"/>
          <w:szCs w:val="22"/>
          <w:highlight w:val="none"/>
          <w:lang w:val="en-US" w:eastAsia="zh-CN"/>
        </w:rPr>
        <w:t xml:space="preserve">成交</w:t>
      </w:r>
      <w:bookmarkEnd w:id="367"/>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bCs/>
          <w:sz w:val="22"/>
          <w:szCs w:val="22"/>
          <w:highlight w:val="none"/>
          <w:lang w:val="en-US" w:eastAsia="zh-CN"/>
        </w:rPr>
        <w:t xml:space="preserve">6</w:t>
      </w:r>
      <w:r>
        <w:rPr>
          <w:rFonts w:hint="eastAsia" w:ascii="宋体" w:hAnsi="宋体" w:eastAsia="宋体" w:cs="宋体"/>
          <w:bCs/>
          <w:sz w:val="22"/>
          <w:szCs w:val="22"/>
          <w:highlight w:val="none"/>
        </w:rPr>
        <w:t xml:space="preserve">.1</w:t>
      </w:r>
      <w:r>
        <w:rPr>
          <w:rFonts w:hint="eastAsia" w:ascii="宋体" w:hAnsi="宋体" w:eastAsia="宋体" w:cs="宋体"/>
          <w:sz w:val="22"/>
          <w:szCs w:val="22"/>
          <w:highlight w:val="none"/>
        </w:rPr>
        <w:t xml:space="preserve">采购人从磋商小组提出的成交候选人中根据符合采购需求且评审得分最高的原则确定成交供应商，并将结果通知所有参加磋商的未成交的供应商。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.2自成交人确定之日起2个工作日内，在发布竞争性磋商公告的媒介上公告成交结果。同时，向成交人发出成交通知书。成交通知书对采购人和成交人具有同等法律效力。</w:t>
      </w:r>
      <w:r/>
    </w:p>
    <w:p>
      <w:pPr>
        <w:pStyle w:val="1047"/>
        <w:pageBreakBefore w:val="0"/>
        <w:spacing w:before="0" w:after="0" w:line="360" w:lineRule="auto"/>
        <w:widowControl w:val="off"/>
        <w:rPr>
          <w:rFonts w:hint="eastAsia" w:ascii="宋体" w:hAnsi="宋体" w:eastAsia="宋体" w:cs="宋体"/>
          <w:b/>
          <w:sz w:val="22"/>
          <w:szCs w:val="22"/>
          <w:highlight w:val="none"/>
          <w:lang w:val="en-US" w:eastAsia="zh-CN"/>
        </w:rPr>
      </w:pPr>
      <w:r/>
      <w:bookmarkStart w:id="368" w:name="_Toc468783625"/>
      <w:r/>
      <w:bookmarkStart w:id="369" w:name="_Toc426469907"/>
      <w:r/>
      <w:bookmarkStart w:id="370" w:name="_Toc28867"/>
      <w:r>
        <w:rPr>
          <w:rFonts w:hint="eastAsia" w:ascii="宋体" w:hAnsi="宋体" w:eastAsia="宋体" w:cs="宋体"/>
          <w:b/>
          <w:sz w:val="22"/>
          <w:szCs w:val="22"/>
          <w:highlight w:val="none"/>
          <w:lang w:val="en-US" w:eastAsia="zh-CN"/>
        </w:rPr>
        <w:t xml:space="preserve">7</w:t>
      </w:r>
      <w:r>
        <w:rPr>
          <w:rFonts w:hint="eastAsia" w:ascii="宋体" w:hAnsi="宋体" w:eastAsia="宋体" w:cs="宋体"/>
          <w:b/>
          <w:sz w:val="22"/>
          <w:szCs w:val="22"/>
          <w:highlight w:val="none"/>
        </w:rPr>
        <w:t xml:space="preserve">质疑</w:t>
      </w:r>
      <w:bookmarkEnd w:id="368"/>
      <w:r/>
      <w:bookmarkEnd w:id="369"/>
      <w:r>
        <w:rPr>
          <w:rFonts w:hint="eastAsia" w:ascii="宋体" w:hAnsi="宋体" w:eastAsia="宋体" w:cs="宋体"/>
          <w:b/>
          <w:sz w:val="22"/>
          <w:szCs w:val="22"/>
          <w:highlight w:val="none"/>
          <w:lang w:val="en-US" w:eastAsia="zh-CN"/>
        </w:rPr>
        <w:t xml:space="preserve">和投诉</w:t>
      </w:r>
      <w:bookmarkEnd w:id="370"/>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.1按照《政府采购质疑和投诉办法》（财政部第94号令）处理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7.2</w:t>
      </w:r>
      <w:r>
        <w:rPr>
          <w:rFonts w:hint="eastAsia" w:ascii="宋体" w:hAnsi="宋体" w:eastAsia="宋体" w:cs="宋体"/>
          <w:sz w:val="22"/>
          <w:szCs w:val="22"/>
          <w:highlight w:val="none"/>
        </w:rPr>
        <w:t xml:space="preserve">供应商认为竞争性磋商文件、招标过程和成交结果使自己的权益受到损害的，可以在知道或者应当知道其权益受到损害之日起七个工作日内，以书面形式向采购人提出质疑。</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采购人在收到供应商的书面质疑后，在七个工作日内对质疑内容作出答复，并以书面形式通知质疑供应商和其他有关的供应商。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质疑函应当包括但不限于以下内容：</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（1）质疑人的名称、地址、邮编、联系人、联系电话；</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（2）具体的质疑事项及事实依据；</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（3）认为自己的合法权益受到损害或者可能受到损害的相关证据材料；</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（4）提出质疑的日期；</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有下列情形之一的质疑，采购人将不予受理：</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（1）非在法定时间内提交的；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（2）非书面形式（含传真、电子邮件等）提出的；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（3）非参加本次招标活动的供应商；</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（4）质疑函的内容不符合本章8.3条规定的；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（5）法律、行政法规规定的其他情形。</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供应商对采购人的答复不满意或者采购人未在规定的时间内作出答复的，可以依法向政府采购监管部门提出投诉。</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供应商提出质疑必须有理、有据，不得恶意质疑或提交虚假质疑。否则，一经查实，采购人有权依据政府采购的有关规定，报请政府采购监管部门对该供应商进行相应的行政处罚。</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7.8供应商和其他利害关系人认为本次招标活动违反法律、法规和规章规定的，有权向财政部门投诉。</w:t>
      </w:r>
      <w:r/>
    </w:p>
    <w:p>
      <w:pPr>
        <w:pStyle w:val="1047"/>
        <w:pageBreakBefore w:val="0"/>
        <w:spacing w:before="0" w:after="0" w:line="360" w:lineRule="auto"/>
        <w:widowControl w:val="off"/>
        <w:rPr>
          <w:rFonts w:hint="eastAsia" w:ascii="宋体" w:hAnsi="宋体" w:eastAsia="宋体" w:cs="宋体"/>
          <w:b/>
          <w:sz w:val="22"/>
          <w:szCs w:val="22"/>
          <w:highlight w:val="none"/>
        </w:rPr>
      </w:pPr>
      <w:r/>
      <w:bookmarkStart w:id="371" w:name="_Toc383438634"/>
      <w:r/>
      <w:bookmarkStart w:id="372" w:name="_Toc468783626"/>
      <w:r/>
      <w:bookmarkStart w:id="373" w:name="_Toc3713"/>
      <w:r/>
      <w:bookmarkStart w:id="374" w:name="_Toc426469908"/>
      <w:r/>
      <w:bookmarkStart w:id="375" w:name="_Toc343525548"/>
      <w:r>
        <w:rPr>
          <w:rFonts w:hint="eastAsia" w:ascii="宋体" w:hAnsi="宋体" w:eastAsia="宋体" w:cs="宋体"/>
          <w:b/>
          <w:sz w:val="22"/>
          <w:szCs w:val="22"/>
          <w:highlight w:val="none"/>
          <w:lang w:val="en-US" w:eastAsia="zh-CN"/>
        </w:rPr>
        <w:t xml:space="preserve">8</w:t>
      </w:r>
      <w:r>
        <w:rPr>
          <w:rFonts w:hint="eastAsia" w:ascii="宋体" w:hAnsi="宋体" w:eastAsia="宋体" w:cs="宋体"/>
          <w:b/>
          <w:sz w:val="22"/>
          <w:szCs w:val="22"/>
          <w:highlight w:val="none"/>
        </w:rPr>
        <w:t xml:space="preserve">. 合同</w:t>
      </w:r>
      <w:bookmarkEnd w:id="371"/>
      <w:r/>
      <w:bookmarkEnd w:id="372"/>
      <w:r/>
      <w:bookmarkEnd w:id="373"/>
      <w:r/>
      <w:bookmarkEnd w:id="374"/>
      <w:r/>
      <w:bookmarkEnd w:id="375"/>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376" w:name="_Toc343525549"/>
      <w:r/>
      <w:bookmarkStart w:id="377" w:name="_Toc323716652"/>
      <w:r/>
      <w:bookmarkStart w:id="378" w:name="_Toc468783627"/>
      <w:r/>
      <w:bookmarkStart w:id="379" w:name="_Toc16897"/>
      <w:r/>
      <w:bookmarkStart w:id="380" w:name="_Toc383438635"/>
      <w:r/>
      <w:bookmarkStart w:id="381" w:name="_Toc426469909"/>
      <w:r>
        <w:rPr>
          <w:rFonts w:hint="eastAsia" w:ascii="宋体" w:hAnsi="宋体" w:eastAsia="宋体" w:cs="宋体"/>
          <w:b/>
          <w:sz w:val="22"/>
          <w:szCs w:val="22"/>
          <w:highlight w:val="none"/>
          <w:lang w:val="en-US" w:eastAsia="zh-CN"/>
        </w:rPr>
        <w:t xml:space="preserve">8</w:t>
      </w:r>
      <w:r>
        <w:rPr>
          <w:rFonts w:hint="eastAsia" w:ascii="宋体" w:hAnsi="宋体" w:eastAsia="宋体" w:cs="宋体"/>
          <w:b/>
          <w:sz w:val="22"/>
          <w:szCs w:val="22"/>
          <w:highlight w:val="none"/>
        </w:rPr>
        <w:t xml:space="preserve">.1 履约</w:t>
      </w:r>
      <w:bookmarkEnd w:id="376"/>
      <w:r/>
      <w:bookmarkEnd w:id="377"/>
      <w:r>
        <w:rPr>
          <w:rFonts w:hint="eastAsia" w:ascii="宋体" w:hAnsi="宋体" w:eastAsia="宋体" w:cs="宋体"/>
          <w:b/>
          <w:sz w:val="22"/>
          <w:szCs w:val="22"/>
          <w:highlight w:val="none"/>
        </w:rPr>
        <w:t xml:space="preserve">保证金</w:t>
      </w:r>
      <w:bookmarkEnd w:id="378"/>
      <w:r/>
      <w:bookmarkEnd w:id="379"/>
      <w:r/>
      <w:bookmarkEnd w:id="380"/>
      <w:r/>
      <w:bookmarkEnd w:id="381"/>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.1.1成交供应商应按供应商须知前附表规定的履约保证金的形式、金额和提交时间向采购人提交履约保证金。</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.1.2成交供应商不能按本竞争性磋商文件要求提交履约保证金的，视为放弃中标，给采购人造成的损失的，成交供应商还应当予以赔偿。</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382" w:name="_Toc383438637"/>
      <w:r/>
      <w:bookmarkStart w:id="383" w:name="_Toc343525551"/>
      <w:r/>
      <w:bookmarkStart w:id="384" w:name="_Toc426469910"/>
      <w:r/>
      <w:bookmarkStart w:id="385" w:name="_Toc468783628"/>
      <w:r/>
      <w:bookmarkStart w:id="386" w:name="_Toc10245"/>
      <w:r>
        <w:rPr>
          <w:rFonts w:hint="eastAsia" w:ascii="宋体" w:hAnsi="宋体" w:eastAsia="宋体" w:cs="宋体"/>
          <w:b/>
          <w:sz w:val="22"/>
          <w:szCs w:val="22"/>
          <w:highlight w:val="none"/>
          <w:lang w:val="en-US" w:eastAsia="zh-CN"/>
        </w:rPr>
        <w:t xml:space="preserve">8</w:t>
      </w:r>
      <w:r>
        <w:rPr>
          <w:rFonts w:hint="eastAsia" w:ascii="宋体" w:hAnsi="宋体" w:eastAsia="宋体" w:cs="宋体"/>
          <w:b/>
          <w:sz w:val="22"/>
          <w:szCs w:val="22"/>
          <w:highlight w:val="none"/>
        </w:rPr>
        <w:t xml:space="preserve">.2签订合同</w:t>
      </w:r>
      <w:bookmarkEnd w:id="382"/>
      <w:r/>
      <w:bookmarkEnd w:id="383"/>
      <w:r/>
      <w:bookmarkEnd w:id="384"/>
      <w:r/>
      <w:bookmarkEnd w:id="385"/>
      <w:r/>
      <w:bookmarkEnd w:id="386"/>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.2.2发出成交通知书后，采购人无正当理由拒签合同的，给成交供应商造成损失的，还应当赔偿损失。</w:t>
      </w:r>
      <w:r/>
    </w:p>
    <w:p>
      <w:pPr>
        <w:pStyle w:val="1047"/>
        <w:pageBreakBefore w:val="0"/>
        <w:spacing w:before="0" w:after="0" w:line="360" w:lineRule="auto"/>
        <w:widowControl w:val="off"/>
        <w:rPr>
          <w:rFonts w:hint="eastAsia" w:ascii="宋体" w:hAnsi="宋体" w:eastAsia="宋体" w:cs="宋体"/>
          <w:b/>
          <w:sz w:val="22"/>
          <w:szCs w:val="22"/>
          <w:highlight w:val="none"/>
        </w:rPr>
      </w:pPr>
      <w:r/>
      <w:bookmarkStart w:id="387" w:name="_Toc468783629"/>
      <w:r/>
      <w:bookmarkStart w:id="388" w:name="_Toc426469911"/>
      <w:r/>
      <w:bookmarkStart w:id="389" w:name="_Toc16482"/>
      <w:r>
        <w:rPr>
          <w:rFonts w:hint="eastAsia" w:ascii="宋体" w:hAnsi="宋体" w:eastAsia="宋体" w:cs="宋体"/>
          <w:b/>
          <w:sz w:val="22"/>
          <w:szCs w:val="22"/>
          <w:highlight w:val="none"/>
          <w:lang w:val="en-US" w:eastAsia="zh-CN"/>
        </w:rPr>
        <w:t xml:space="preserve">9</w:t>
      </w:r>
      <w:r>
        <w:rPr>
          <w:rFonts w:hint="eastAsia" w:ascii="宋体" w:hAnsi="宋体" w:eastAsia="宋体" w:cs="宋体"/>
          <w:b/>
          <w:sz w:val="22"/>
          <w:szCs w:val="22"/>
          <w:highlight w:val="none"/>
        </w:rPr>
        <w:t xml:space="preserve">.废标</w:t>
      </w:r>
      <w:bookmarkEnd w:id="387"/>
      <w:r/>
      <w:bookmarkEnd w:id="388"/>
      <w:r/>
      <w:bookmarkEnd w:id="389"/>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出现情形之一的，采购人将予以废标，并将废标理由通知所有供应商：</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（1）除财库【2014】214号文第二十一条第三款规定的情形外，符合专业条件的供应商或者对竞争性磋商文件作实质响应的供应商不足三家的；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（2）出现影响采购公正的违法、违规行为的；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（3）供应商的报价均超过了</w:t>
      </w:r>
      <w:r>
        <w:rPr>
          <w:rFonts w:hint="eastAsia" w:ascii="宋体" w:hAnsi="宋体" w:eastAsia="宋体" w:cs="宋体"/>
          <w:sz w:val="22"/>
          <w:szCs w:val="22"/>
          <w:highlight w:val="none"/>
          <w:lang w:val="en-US" w:eastAsia="zh-CN"/>
        </w:rPr>
        <w:t xml:space="preserve">最高限价</w:t>
      </w:r>
      <w:r>
        <w:rPr>
          <w:rFonts w:hint="eastAsia" w:ascii="宋体" w:hAnsi="宋体" w:eastAsia="宋体" w:cs="宋体"/>
          <w:sz w:val="22"/>
          <w:szCs w:val="22"/>
          <w:highlight w:val="none"/>
        </w:rPr>
        <w:t xml:space="preserve">，采购人不能支付的；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（4）因重大变故，采购任务取消的。</w:t>
      </w:r>
      <w:r/>
    </w:p>
    <w:p>
      <w:pPr>
        <w:pStyle w:val="1047"/>
        <w:pageBreakBefore w:val="0"/>
        <w:spacing w:before="0" w:after="0" w:line="360" w:lineRule="auto"/>
        <w:widowControl w:val="off"/>
        <w:rPr>
          <w:rFonts w:hint="eastAsia" w:ascii="宋体" w:hAnsi="宋体" w:eastAsia="宋体" w:cs="宋体"/>
          <w:b/>
          <w:sz w:val="22"/>
          <w:szCs w:val="22"/>
          <w:highlight w:val="none"/>
        </w:rPr>
      </w:pPr>
      <w:r/>
      <w:bookmarkStart w:id="390" w:name="_Toc426469912"/>
      <w:r/>
      <w:bookmarkStart w:id="391" w:name="_Toc343525553"/>
      <w:r/>
      <w:bookmarkStart w:id="392" w:name="_Toc383438639"/>
      <w:r/>
      <w:bookmarkStart w:id="393" w:name="_Toc29759"/>
      <w:r/>
      <w:bookmarkStart w:id="394" w:name="_Toc468783630"/>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0</w:t>
      </w:r>
      <w:r>
        <w:rPr>
          <w:rFonts w:hint="eastAsia" w:ascii="宋体" w:hAnsi="宋体" w:eastAsia="宋体" w:cs="宋体"/>
          <w:b/>
          <w:sz w:val="22"/>
          <w:szCs w:val="22"/>
          <w:highlight w:val="none"/>
        </w:rPr>
        <w:t xml:space="preserve">. 纪律和监督</w:t>
      </w:r>
      <w:bookmarkEnd w:id="390"/>
      <w:r/>
      <w:bookmarkEnd w:id="391"/>
      <w:r/>
      <w:bookmarkEnd w:id="392"/>
      <w:r/>
      <w:bookmarkEnd w:id="393"/>
      <w:r/>
      <w:bookmarkEnd w:id="394"/>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395" w:name="_Toc383438640"/>
      <w:r/>
      <w:bookmarkStart w:id="396" w:name="_Toc426469913"/>
      <w:r/>
      <w:bookmarkStart w:id="397" w:name="_Toc246996962"/>
      <w:r/>
      <w:bookmarkStart w:id="398" w:name="_Toc152042351"/>
      <w:r/>
      <w:bookmarkStart w:id="399" w:name="_Toc246996219"/>
      <w:r/>
      <w:bookmarkStart w:id="400" w:name="_Toc468783631"/>
      <w:r/>
      <w:bookmarkStart w:id="401" w:name="_Toc144974543"/>
      <w:r/>
      <w:bookmarkStart w:id="402" w:name="_Toc179632593"/>
      <w:r/>
      <w:bookmarkStart w:id="403" w:name="_Toc247085733"/>
      <w:r/>
      <w:bookmarkStart w:id="404" w:name="_Toc3388"/>
      <w:r/>
      <w:bookmarkStart w:id="405" w:name="_Toc296590983"/>
      <w:r/>
      <w:bookmarkStart w:id="406" w:name="_Toc152045575"/>
      <w:r/>
      <w:bookmarkStart w:id="407" w:name="_Toc343525554"/>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0</w:t>
      </w:r>
      <w:r>
        <w:rPr>
          <w:rFonts w:hint="eastAsia" w:ascii="宋体" w:hAnsi="宋体" w:eastAsia="宋体" w:cs="宋体"/>
          <w:b/>
          <w:sz w:val="22"/>
          <w:szCs w:val="22"/>
          <w:highlight w:val="none"/>
        </w:rPr>
        <w:t xml:space="preserve">.1 对采购人的纪律要求</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采购人不得泄漏招标投标活动中应当保密的情况和资料，不得与供应商串通损害国家利益、社会公共利益或者他人合法权益。</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408" w:name="_Toc343525555"/>
      <w:r/>
      <w:bookmarkStart w:id="409" w:name="_Toc152042352"/>
      <w:r/>
      <w:bookmarkStart w:id="410" w:name="_Toc468783632"/>
      <w:r/>
      <w:bookmarkStart w:id="411" w:name="_Toc179632594"/>
      <w:r/>
      <w:bookmarkStart w:id="412" w:name="_Toc426469914"/>
      <w:r/>
      <w:bookmarkStart w:id="413" w:name="_Toc247085734"/>
      <w:r/>
      <w:bookmarkStart w:id="414" w:name="_Toc25146"/>
      <w:r/>
      <w:bookmarkStart w:id="415" w:name="_Toc246996220"/>
      <w:r/>
      <w:bookmarkStart w:id="416" w:name="_Toc383438641"/>
      <w:r/>
      <w:bookmarkStart w:id="417" w:name="_Toc246996963"/>
      <w:r/>
      <w:bookmarkStart w:id="418" w:name="_Toc144974544"/>
      <w:r/>
      <w:bookmarkStart w:id="419" w:name="_Toc152045576"/>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0</w:t>
      </w:r>
      <w:r>
        <w:rPr>
          <w:rFonts w:hint="eastAsia" w:ascii="宋体" w:hAnsi="宋体" w:eastAsia="宋体" w:cs="宋体"/>
          <w:b/>
          <w:sz w:val="22"/>
          <w:szCs w:val="22"/>
          <w:highlight w:val="none"/>
        </w:rPr>
        <w:t xml:space="preserve">.2 对供应商的纪律要求</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供应商不得相互串通投标或者与采购人串通投标，不得向采购人或者</w:t>
      </w:r>
      <w:r>
        <w:rPr>
          <w:rFonts w:hint="eastAsia" w:ascii="宋体" w:hAnsi="宋体" w:eastAsia="宋体" w:cs="宋体"/>
          <w:sz w:val="22"/>
          <w:szCs w:val="22"/>
          <w:highlight w:val="none"/>
          <w:lang w:eastAsia="zh-CN"/>
        </w:rPr>
        <w:t xml:space="preserve">磋商小组</w:t>
      </w:r>
      <w:r>
        <w:rPr>
          <w:rFonts w:hint="eastAsia" w:ascii="宋体" w:hAnsi="宋体" w:eastAsia="宋体" w:cs="宋体"/>
          <w:sz w:val="22"/>
          <w:szCs w:val="22"/>
          <w:highlight w:val="none"/>
        </w:rPr>
        <w:t xml:space="preserve">成员行贿谋取中标，不得以他人名义投标或者以其他方式弄虚作假骗取中标；供应商不得以任何方式干扰、影响开、评标工作。</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420" w:name="_Toc152045577"/>
      <w:r/>
      <w:bookmarkStart w:id="421" w:name="_Toc179632595"/>
      <w:r/>
      <w:bookmarkStart w:id="422" w:name="_Toc152042353"/>
      <w:r/>
      <w:bookmarkStart w:id="423" w:name="_Toc246996964"/>
      <w:r/>
      <w:bookmarkStart w:id="424" w:name="_Toc246996221"/>
      <w:r/>
      <w:bookmarkStart w:id="425" w:name="_Toc426469915"/>
      <w:r/>
      <w:bookmarkStart w:id="426" w:name="_Toc247085735"/>
      <w:r/>
      <w:bookmarkStart w:id="427" w:name="_Toc2642"/>
      <w:r/>
      <w:bookmarkStart w:id="428" w:name="_Toc343525556"/>
      <w:r/>
      <w:bookmarkStart w:id="429" w:name="_Toc383438642"/>
      <w:r/>
      <w:bookmarkStart w:id="430" w:name="_Toc144974545"/>
      <w:r/>
      <w:bookmarkStart w:id="431" w:name="_Toc468783633"/>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0</w:t>
      </w:r>
      <w:r>
        <w:rPr>
          <w:rFonts w:hint="eastAsia" w:ascii="宋体" w:hAnsi="宋体" w:eastAsia="宋体" w:cs="宋体"/>
          <w:b/>
          <w:sz w:val="22"/>
          <w:szCs w:val="22"/>
          <w:highlight w:val="none"/>
        </w:rPr>
        <w:t xml:space="preserve">.3 对磋商小组成员的纪律要求</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432" w:name="_Toc468783634"/>
      <w:r/>
      <w:bookmarkStart w:id="433" w:name="_Toc383438643"/>
      <w:r/>
      <w:bookmarkStart w:id="434" w:name="_Toc247085736"/>
      <w:r/>
      <w:bookmarkStart w:id="435" w:name="_Toc343525557"/>
      <w:r/>
      <w:bookmarkStart w:id="436" w:name="_Toc152042354"/>
      <w:r/>
      <w:bookmarkStart w:id="437" w:name="_Toc152045578"/>
      <w:r/>
      <w:bookmarkStart w:id="438" w:name="_Toc246996222"/>
      <w:r/>
      <w:bookmarkStart w:id="439" w:name="_Toc18438"/>
      <w:r/>
      <w:bookmarkStart w:id="440" w:name="_Toc246996965"/>
      <w:r/>
      <w:bookmarkStart w:id="441" w:name="_Toc426469916"/>
      <w:r/>
      <w:bookmarkStart w:id="442" w:name="_Toc179632596"/>
      <w:r/>
      <w:bookmarkStart w:id="443" w:name="_Toc144974546"/>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0</w:t>
      </w:r>
      <w:r>
        <w:rPr>
          <w:rFonts w:hint="eastAsia" w:ascii="宋体" w:hAnsi="宋体" w:eastAsia="宋体" w:cs="宋体"/>
          <w:b/>
          <w:sz w:val="22"/>
          <w:szCs w:val="22"/>
          <w:highlight w:val="none"/>
        </w:rPr>
        <w:t xml:space="preserve">.4 对与评标活动有关的工作人员的纪律要求</w:t>
      </w:r>
      <w:bookmarkEnd w:id="432"/>
      <w:r/>
      <w:bookmarkEnd w:id="433"/>
      <w:r/>
      <w:bookmarkEnd w:id="434"/>
      <w:r/>
      <w:bookmarkEnd w:id="435"/>
      <w:r/>
      <w:bookmarkEnd w:id="436"/>
      <w:r/>
      <w:bookmarkEnd w:id="437"/>
      <w:r/>
      <w:bookmarkEnd w:id="438"/>
      <w:r/>
      <w:bookmarkEnd w:id="439"/>
      <w:r/>
      <w:bookmarkEnd w:id="440"/>
      <w:r/>
      <w:bookmarkEnd w:id="441"/>
      <w:r/>
      <w:bookmarkEnd w:id="442"/>
      <w:r/>
      <w:r/>
    </w:p>
    <w:p>
      <w:pPr>
        <w:ind w:firstLine="210"/>
        <w:jc w:val="left"/>
        <w:pageBreakBefore w:val="0"/>
        <w:spacing w:line="360" w:lineRule="auto"/>
        <w:widowControl w:val="off"/>
        <w:rPr>
          <w:rFonts w:hint="eastAsia" w:ascii="宋体" w:hAnsi="宋体" w:eastAsia="宋体" w:cs="宋体"/>
          <w:sz w:val="22"/>
          <w:szCs w:val="22"/>
          <w:highlight w:val="none"/>
        </w:rPr>
      </w:pPr>
      <w:r/>
      <w:bookmarkStart w:id="444" w:name="_Toc152042355"/>
      <w:r>
        <w:rPr>
          <w:rFonts w:hint="eastAsia" w:ascii="宋体" w:hAnsi="宋体" w:eastAsia="宋体" w:cs="宋体"/>
          <w:sz w:val="22"/>
          <w:szCs w:val="22"/>
          <w:highlight w:val="none"/>
        </w:rPr>
        <w:t xml:space="preserve">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443"/>
      <w:r/>
      <w:bookmarkEnd w:id="444"/>
      <w:r/>
      <w:r/>
    </w:p>
    <w:p>
      <w:pPr>
        <w:pStyle w:val="1047"/>
        <w:pageBreakBefore w:val="0"/>
        <w:spacing w:before="0" w:after="0" w:line="360" w:lineRule="auto"/>
        <w:widowControl w:val="off"/>
        <w:rPr>
          <w:rFonts w:hint="eastAsia" w:ascii="宋体" w:hAnsi="宋体" w:eastAsia="宋体" w:cs="宋体"/>
          <w:b/>
          <w:sz w:val="22"/>
          <w:szCs w:val="22"/>
          <w:highlight w:val="none"/>
        </w:rPr>
      </w:pPr>
      <w:r/>
      <w:bookmarkStart w:id="445" w:name="_Toc152042357"/>
      <w:r/>
      <w:bookmarkStart w:id="446" w:name="_Toc426469918"/>
      <w:r/>
      <w:bookmarkStart w:id="447" w:name="_Toc343525559"/>
      <w:r/>
      <w:bookmarkStart w:id="448" w:name="_Toc246996967"/>
      <w:r/>
      <w:bookmarkStart w:id="449" w:name="_Toc11107"/>
      <w:r/>
      <w:bookmarkStart w:id="450" w:name="_Toc468783636"/>
      <w:r/>
      <w:bookmarkStart w:id="451" w:name="_Toc152045580"/>
      <w:r/>
      <w:bookmarkStart w:id="452" w:name="_Toc246996224"/>
      <w:r/>
      <w:bookmarkStart w:id="453" w:name="_Toc179632598"/>
      <w:r/>
      <w:bookmarkStart w:id="454" w:name="_Toc144974547"/>
      <w:r/>
      <w:bookmarkStart w:id="455" w:name="_Toc247085738"/>
      <w:r/>
      <w:bookmarkStart w:id="456" w:name="_Toc383438645"/>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 需要补充的其他内容</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需要补充的其他内容：见供应商须知前附表。</w:t>
      </w:r>
      <w:r/>
    </w:p>
    <w:p>
      <w:pPr>
        <w:pStyle w:val="1048"/>
        <w:jc w:val="left"/>
        <w:pageBreakBefore w:val="0"/>
        <w:spacing w:before="0" w:after="0" w:line="360" w:lineRule="auto"/>
        <w:widowControl w:val="off"/>
        <w:rPr>
          <w:rFonts w:hint="eastAsia" w:ascii="宋体" w:hAnsi="宋体" w:eastAsia="宋体" w:cs="宋体"/>
          <w:b/>
          <w:sz w:val="22"/>
          <w:szCs w:val="22"/>
          <w:highlight w:val="none"/>
        </w:rPr>
      </w:pPr>
      <w:r/>
      <w:bookmarkStart w:id="457" w:name="_Toc426469919"/>
      <w:r/>
      <w:bookmarkStart w:id="458" w:name="_Toc12431"/>
      <w:r/>
      <w:bookmarkStart w:id="459" w:name="_Toc468783637"/>
      <w:r/>
      <w:bookmarkStart w:id="460" w:name="_Toc152045587"/>
      <w:r/>
      <w:bookmarkStart w:id="461" w:name="_Toc246996230"/>
      <w:r/>
      <w:bookmarkStart w:id="462" w:name="_Toc383438646"/>
      <w:r/>
      <w:bookmarkStart w:id="463" w:name="_Toc144974554"/>
      <w:r/>
      <w:bookmarkStart w:id="464" w:name="_Toc152042364"/>
      <w:r/>
      <w:bookmarkStart w:id="465" w:name="_Toc343525562"/>
      <w:r/>
      <w:bookmarkStart w:id="466" w:name="_Toc179632605"/>
      <w:r/>
      <w:bookmarkStart w:id="467" w:name="_Toc247085745"/>
      <w:r/>
      <w:bookmarkStart w:id="468" w:name="_Toc246996973"/>
      <w:r/>
      <w:bookmarkStart w:id="469" w:name="_Toc383679747"/>
      <w:r/>
      <w:bookmarkStart w:id="470" w:name="_Toc383625994"/>
      <w:r/>
      <w:bookmarkStart w:id="471" w:name="_Toc383623945"/>
      <w:r/>
      <w:bookmarkStart w:id="472" w:name="_Toc390098841"/>
      <w:r/>
      <w:bookmarkStart w:id="473" w:name="_Toc383587457"/>
      <w:r/>
      <w:bookmarkStart w:id="474" w:name="_Toc390246906"/>
      <w:r/>
      <w:bookmarkStart w:id="475" w:name="_Toc383623673"/>
      <w:r/>
      <w:bookmarkStart w:id="476" w:name="_Toc383698648"/>
      <w:r/>
      <w:bookmarkStart w:id="477" w:name="_Toc390099019"/>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2</w:t>
      </w:r>
      <w:r>
        <w:rPr>
          <w:rFonts w:hint="eastAsia" w:ascii="宋体" w:hAnsi="宋体" w:eastAsia="宋体" w:cs="宋体"/>
          <w:b/>
          <w:sz w:val="22"/>
          <w:szCs w:val="22"/>
          <w:highlight w:val="none"/>
        </w:rPr>
        <w:t xml:space="preserve">.竞争性磋商文件的解释</w:t>
      </w:r>
      <w:bookmarkEnd w:id="457"/>
      <w:r/>
      <w:bookmarkEnd w:id="458"/>
      <w:r/>
      <w:bookmarkEnd w:id="459"/>
      <w:r/>
      <w:r/>
    </w:p>
    <w:p>
      <w:pPr>
        <w:ind w:firstLine="210"/>
        <w:jc w:val="left"/>
        <w:pageBreakBefore w:val="0"/>
        <w:spacing w:line="360" w:lineRule="auto"/>
        <w:widowControl w:val="off"/>
        <w:rPr>
          <w:rFonts w:hint="eastAsia" w:ascii="宋体" w:hAnsi="宋体" w:eastAsia="宋体" w:cs="宋体"/>
          <w:sz w:val="24"/>
          <w:szCs w:val="24"/>
          <w:highlight w:val="none"/>
        </w:rPr>
        <w:sectPr>
          <w:footerReference w:type="default" r:id="rId15"/>
          <w:footnotePr/>
          <w:endnotePr/>
          <w:type w:val="nextPage"/>
          <w:pgSz w:w="11906" w:h="16838" w:orient="portrait"/>
          <w:pgMar w:top="1440" w:right="1531" w:bottom="1440" w:left="1531" w:header="851" w:footer="992" w:gutter="0"/>
          <w:pgNumType w:start="1"/>
          <w:cols w:num="1" w:sep="0" w:space="1701" w:equalWidth="1"/>
          <w:docGrid w:linePitch="360"/>
        </w:sectPr>
      </w:pPr>
      <w:r>
        <w:rPr>
          <w:rFonts w:hint="eastAsia" w:ascii="宋体" w:hAnsi="宋体" w:eastAsia="宋体" w:cs="宋体"/>
          <w:sz w:val="22"/>
          <w:szCs w:val="22"/>
          <w:highlight w:val="none"/>
        </w:rPr>
        <w:t xml:space="preserve">本竞争性磋商文件的解释权属于采购人。</w:t>
      </w:r>
      <w:r/>
    </w:p>
    <w:p>
      <w:pPr>
        <w:pStyle w:val="1046"/>
        <w:rPr>
          <w:rFonts w:hint="eastAsia" w:ascii="宋体" w:hAnsi="宋体" w:eastAsia="宋体" w:cs="宋体"/>
          <w:b/>
          <w:bCs/>
          <w:sz w:val="32"/>
          <w:szCs w:val="32"/>
          <w:highlight w:val="none"/>
        </w:rPr>
      </w:pPr>
      <w:r/>
      <w:bookmarkStart w:id="478" w:name="_Toc18574"/>
      <w:r/>
      <w:bookmarkStart w:id="479" w:name="_Toc468783638"/>
      <w:r/>
      <w:bookmarkStart w:id="480" w:name="_Toc12891"/>
      <w:r/>
      <w:bookmarkStart w:id="481" w:name="_Toc9937"/>
      <w:r/>
      <w:bookmarkStart w:id="482" w:name="_Toc22796"/>
      <w:r/>
      <w:bookmarkStart w:id="483" w:name="_Toc17711"/>
      <w:r>
        <w:rPr>
          <w:rFonts w:hint="eastAsia" w:ascii="宋体" w:hAnsi="宋体" w:eastAsia="宋体" w:cs="宋体"/>
          <w:b/>
          <w:bCs/>
          <w:sz w:val="32"/>
          <w:szCs w:val="32"/>
          <w:highlight w:val="none"/>
        </w:rPr>
        <w:t xml:space="preserve">第三章</w:t>
      </w:r>
      <w:r>
        <w:rPr>
          <w:rFonts w:hint="eastAsia" w:ascii="宋体" w:hAnsi="宋体" w:eastAsia="宋体" w:cs="宋体"/>
          <w:b/>
          <w:bCs/>
          <w:sz w:val="32"/>
          <w:szCs w:val="32"/>
          <w:highlight w:val="none"/>
          <w:lang w:val="en-US" w:eastAsia="zh-CN"/>
        </w:rPr>
        <w:t xml:space="preserve">  </w:t>
      </w:r>
      <w:bookmarkEnd w:id="460"/>
      <w:r/>
      <w:bookmarkEnd w:id="461"/>
      <w:r/>
      <w:bookmarkEnd w:id="462"/>
      <w:r/>
      <w:bookmarkEnd w:id="463"/>
      <w:r/>
      <w:bookmarkEnd w:id="464"/>
      <w:r/>
      <w:bookmarkEnd w:id="465"/>
      <w:r/>
      <w:bookmarkEnd w:id="466"/>
      <w:r/>
      <w:bookmarkEnd w:id="467"/>
      <w:r/>
      <w:bookmarkEnd w:id="468"/>
      <w:r/>
      <w:bookmarkEnd w:id="478"/>
      <w:r/>
      <w:bookmarkEnd w:id="479"/>
      <w:r>
        <w:rPr>
          <w:rFonts w:hint="eastAsia" w:ascii="宋体" w:hAnsi="宋体" w:eastAsia="宋体" w:cs="宋体"/>
          <w:b/>
          <w:bCs/>
          <w:sz w:val="32"/>
          <w:szCs w:val="32"/>
          <w:highlight w:val="none"/>
        </w:rPr>
        <w:t xml:space="preserve">竞争性磋商</w:t>
      </w:r>
      <w:bookmarkEnd w:id="480"/>
      <w:r/>
      <w:bookmarkEnd w:id="481"/>
      <w:r/>
      <w:bookmarkEnd w:id="482"/>
      <w:r/>
      <w:bookmarkEnd w:id="483"/>
      <w:r/>
      <w:r/>
    </w:p>
    <w:p>
      <w:pPr>
        <w:pStyle w:val="1047"/>
        <w:pageBreakBefore w:val="0"/>
        <w:spacing w:before="0" w:after="0" w:line="240" w:lineRule="auto"/>
        <w:rPr>
          <w:rFonts w:hint="eastAsia" w:ascii="宋体" w:hAnsi="宋体" w:eastAsia="宋体" w:cs="宋体"/>
          <w:bCs/>
          <w:sz w:val="22"/>
          <w:szCs w:val="22"/>
          <w:highlight w:val="none"/>
        </w:rPr>
      </w:pPr>
      <w:r/>
      <w:bookmarkStart w:id="484" w:name="_Toc17681"/>
      <w:r/>
      <w:bookmarkStart w:id="485" w:name="_Toc426469921"/>
      <w:r/>
      <w:bookmarkStart w:id="486" w:name="_Toc179632607"/>
      <w:r/>
      <w:bookmarkStart w:id="487" w:name="_Toc468783640"/>
      <w:r/>
      <w:bookmarkStart w:id="488" w:name="_Toc343525564"/>
      <w:r/>
      <w:bookmarkStart w:id="489" w:name="_Toc246996232"/>
      <w:r/>
      <w:bookmarkStart w:id="490" w:name="_Toc152042366"/>
      <w:r/>
      <w:bookmarkStart w:id="491" w:name="_Toc246996975"/>
      <w:r/>
      <w:bookmarkStart w:id="492" w:name="_Toc152045589"/>
      <w:r/>
      <w:bookmarkStart w:id="493" w:name="_Toc144974556"/>
      <w:r/>
      <w:bookmarkStart w:id="494" w:name="_Toc247085747"/>
      <w:r>
        <w:rPr>
          <w:rFonts w:hint="eastAsia" w:ascii="宋体" w:hAnsi="宋体" w:eastAsia="宋体" w:cs="宋体"/>
          <w:b/>
          <w:sz w:val="22"/>
          <w:szCs w:val="22"/>
          <w:highlight w:val="none"/>
        </w:rPr>
        <w:t xml:space="preserve">竞争性磋商前附表</w:t>
      </w:r>
      <w:bookmarkEnd w:id="484"/>
      <w:r/>
      <w:r/>
    </w:p>
    <w:tbl>
      <w:tblPr>
        <w:tblStyle w:val="881"/>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
        <w:gridCol w:w="1272"/>
        <w:gridCol w:w="1941"/>
        <w:gridCol w:w="229"/>
        <w:gridCol w:w="5522"/>
      </w:tblGrid>
      <w:tr>
        <w:trPr>
          <w:jc w:val="center"/>
          <w:trHeight w:val="353"/>
        </w:trPr>
        <w:tc>
          <w:tcPr>
            <w:gridSpan w:val="5"/>
            <w:tcW w:w="9395" w:type="dxa"/>
            <w:vAlign w:val="center"/>
            <w:textDirection w:val="lrTb"/>
            <w:noWrap/>
          </w:tcPr>
          <w:p>
            <w:pPr>
              <w:pStyle w:val="1336"/>
              <w:ind w:right="0"/>
              <w:pageBreakBefore w:val="0"/>
              <w:spacing w:before="0" w:line="240" w:lineRule="auto"/>
              <w:rPr>
                <w:rFonts w:hint="eastAsia" w:ascii="宋体" w:hAnsi="宋体" w:eastAsia="宋体" w:cs="宋体"/>
                <w:color w:val="0d0d0d"/>
                <w:sz w:val="22"/>
                <w:szCs w:val="22"/>
                <w:highlight w:val="none"/>
              </w:rPr>
            </w:pPr>
            <w:r>
              <w:rPr>
                <w:rFonts w:hint="eastAsia" w:ascii="宋体" w:hAnsi="宋体" w:eastAsia="宋体" w:cs="宋体"/>
                <w:b/>
                <w:sz w:val="22"/>
                <w:szCs w:val="22"/>
                <w:highlight w:val="none"/>
                <w:lang w:eastAsia="zh-CN"/>
              </w:rPr>
              <w:t xml:space="preserve">1.1资格审查</w:t>
            </w:r>
            <w:r/>
          </w:p>
        </w:tc>
      </w:tr>
      <w:tr>
        <w:trPr>
          <w:jc w:val="center"/>
          <w:trHeight w:val="308"/>
        </w:trPr>
        <w:tc>
          <w:tcPr>
            <w:gridSpan w:val="2"/>
            <w:tcW w:w="1703"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评审事项</w:t>
            </w:r>
            <w:r/>
          </w:p>
        </w:tc>
        <w:tc>
          <w:tcPr>
            <w:gridSpan w:val="2"/>
            <w:tcW w:w="2170"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评审因素</w:t>
            </w:r>
            <w:r/>
          </w:p>
        </w:tc>
        <w:tc>
          <w:tcPr>
            <w:tcW w:w="5522"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评审标准</w:t>
            </w:r>
            <w:r/>
          </w:p>
        </w:tc>
      </w:tr>
      <w:tr>
        <w:trPr>
          <w:cantSplit/>
          <w:jc w:val="center"/>
          <w:trHeight w:val="637"/>
        </w:trPr>
        <w:tc>
          <w:tcPr>
            <w:gridSpan w:val="2"/>
            <w:tcW w:w="1703" w:type="dxa"/>
            <w:vAlign w:val="center"/>
            <w:vMerge w:val="restart"/>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资格审查</w:t>
            </w:r>
            <w:r/>
          </w:p>
        </w:tc>
        <w:tc>
          <w:tcPr>
            <w:gridSpan w:val="2"/>
            <w:tcW w:w="2170" w:type="dxa"/>
            <w:vAlign w:val="center"/>
            <w:textDirection w:val="lrTb"/>
            <w:noWrap/>
          </w:tcPr>
          <w:p>
            <w:pP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sz w:val="22"/>
                <w:szCs w:val="22"/>
                <w:highlight w:val="none"/>
              </w:rPr>
              <w:t xml:space="preserve">基本资格条件的承诺</w:t>
            </w:r>
            <w:r/>
          </w:p>
        </w:tc>
        <w:tc>
          <w:tcPr>
            <w:tcW w:w="5522" w:type="dxa"/>
            <w:vAlign w:val="center"/>
            <w:textDirection w:val="lrTb"/>
            <w:noWrap/>
          </w:tcPr>
          <w:p>
            <w:pP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sz w:val="22"/>
                <w:szCs w:val="22"/>
                <w:highlight w:val="none"/>
              </w:rPr>
              <w:t xml:space="preserve">根据供应商提供的承诺书，内容完整且具有法人及法定代表人的印章。（内容及格式参照第</w:t>
            </w:r>
            <w:r>
              <w:rPr>
                <w:rFonts w:hint="eastAsia" w:ascii="宋体" w:hAnsi="宋体" w:eastAsia="宋体" w:cs="宋体"/>
                <w:sz w:val="22"/>
                <w:szCs w:val="22"/>
                <w:highlight w:val="none"/>
                <w:lang w:val="en-US" w:eastAsia="zh-CN"/>
              </w:rPr>
              <w:t xml:space="preserve">五</w:t>
            </w:r>
            <w:r>
              <w:rPr>
                <w:rFonts w:hint="eastAsia" w:ascii="宋体" w:hAnsi="宋体" w:eastAsia="宋体" w:cs="宋体"/>
                <w:sz w:val="22"/>
                <w:szCs w:val="22"/>
                <w:highlight w:val="none"/>
              </w:rPr>
              <w:t xml:space="preserve">章《供应商基本资格条件承诺书》）</w:t>
            </w:r>
            <w:r/>
          </w:p>
        </w:tc>
      </w:tr>
      <w:tr>
        <w:trPr>
          <w:cantSplit/>
          <w:jc w:val="center"/>
          <w:trHeight w:val="1103"/>
        </w:trPr>
        <w:tc>
          <w:tcPr>
            <w:gridSpan w:val="2"/>
            <w:tcW w:w="1703" w:type="dxa"/>
            <w:vAlign w:val="center"/>
            <w:vMerge w:val="continue"/>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r>
            <w:r/>
          </w:p>
        </w:tc>
        <w:tc>
          <w:tcPr>
            <w:gridSpan w:val="2"/>
            <w:tcW w:w="2170" w:type="dxa"/>
            <w:vAlign w:val="center"/>
            <w:textDirection w:val="lrTb"/>
            <w:noWrap/>
          </w:tcPr>
          <w:p>
            <w:pPr>
              <w:pageBreakBefore w:val="0"/>
              <w:spacing w:line="240" w:lineRule="auto"/>
              <w:rPr>
                <w:rFonts w:hint="eastAsia" w:ascii="宋体" w:hAnsi="宋体" w:eastAsia="宋体" w:cs="宋体"/>
                <w:color w:val="0d0d0d"/>
                <w:sz w:val="22"/>
                <w:szCs w:val="22"/>
                <w:highlight w:val="none"/>
                <w:lang w:eastAsia="zh-CN"/>
              </w:rPr>
            </w:pPr>
            <w:r>
              <w:rPr>
                <w:rFonts w:hint="eastAsia" w:ascii="宋体" w:hAnsi="宋体" w:eastAsia="宋体" w:cs="宋体"/>
                <w:sz w:val="22"/>
                <w:szCs w:val="22"/>
                <w:highlight w:val="none"/>
              </w:rPr>
              <w:t xml:space="preserve">落实政府采购政策需满足的资格要求</w:t>
            </w:r>
            <w:r/>
          </w:p>
        </w:tc>
        <w:tc>
          <w:tcPr>
            <w:tcW w:w="5522" w:type="dxa"/>
            <w:vAlign w:val="center"/>
            <w:textDirection w:val="lrTb"/>
            <w:noWrap/>
          </w:tcPr>
          <w:p>
            <w:pPr>
              <w:pStyle w:val="1049"/>
              <w:keepLines/>
              <w:keepNext/>
              <w:pageBreakBefore w:val="0"/>
              <w:spacing w:before="0" w:after="0" w:line="24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按要求填写中小企业声明函</w:t>
            </w:r>
            <w:r/>
          </w:p>
          <w:p>
            <w:pPr>
              <w:rPr>
                <w:rFonts w:hint="eastAsia" w:ascii="宋体" w:hAnsi="宋体" w:eastAsia="宋体" w:cs="宋体"/>
                <w:color w:val="0d0d0d"/>
                <w:sz w:val="22"/>
                <w:szCs w:val="22"/>
                <w:highlight w:val="none"/>
              </w:rPr>
            </w:pPr>
            <w:r>
              <w:rPr>
                <w:rFonts w:hint="eastAsia" w:ascii="宋体" w:hAnsi="宋体" w:eastAsia="宋体" w:cs="宋体"/>
                <w:sz w:val="22"/>
                <w:szCs w:val="22"/>
                <w:highlight w:val="none"/>
                <w:lang w:val="en-US" w:eastAsia="zh-CN" w:bidi="ar-SA"/>
              </w:rPr>
              <w:t xml:space="preserve">注：本项目专门面向中小企业，供应商应为中小微企业、监狱企业、残疾人福利性单位，并提供相应证明资料（证明资料要求见本采购文件“第二章 供应商须知1.4.2”）如未按要求填写和提供有效证明或相关内容表述不清的，视作不满足此资格要求。</w:t>
            </w:r>
            <w:r/>
          </w:p>
        </w:tc>
      </w:tr>
      <w:tr>
        <w:trPr>
          <w:cantSplit/>
          <w:jc w:val="center"/>
          <w:trHeight w:val="983"/>
        </w:trPr>
        <w:tc>
          <w:tcPr>
            <w:gridSpan w:val="2"/>
            <w:tcW w:w="1703" w:type="dxa"/>
            <w:vAlign w:val="center"/>
            <w:vMerge w:val="continue"/>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r>
            <w:r/>
          </w:p>
        </w:tc>
        <w:tc>
          <w:tcPr>
            <w:gridSpan w:val="2"/>
            <w:shd w:val="clear" w:color="auto" w:fill="auto"/>
            <w:tcW w:w="2170" w:type="dxa"/>
            <w:vAlign w:val="center"/>
            <w:textDirection w:val="lrTb"/>
            <w:noWrap/>
          </w:tcPr>
          <w:p>
            <w:pPr>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rPr>
              <w:t xml:space="preserve">采购人根据本项目特点，要求供应商具备的特定条件</w:t>
            </w:r>
            <w:r/>
          </w:p>
        </w:tc>
        <w:tc>
          <w:tcPr>
            <w:shd w:val="clear" w:color="auto" w:fill="auto"/>
            <w:tcW w:w="5522" w:type="dxa"/>
            <w:vAlign w:val="center"/>
            <w:textDirection w:val="lrTb"/>
            <w:noWrap/>
          </w:tcPr>
          <w:p>
            <w:pPr>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rPr>
              <w:t xml:space="preserve">详见竞争性磋商公告及供应商须知（含资质动态监管核查</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提供签章完备的</w:t>
            </w:r>
            <w:r>
              <w:rPr>
                <w:rFonts w:hint="eastAsia" w:ascii="宋体" w:hAnsi="宋体" w:eastAsia="宋体" w:cs="宋体"/>
                <w:bCs/>
                <w:sz w:val="22"/>
                <w:szCs w:val="22"/>
                <w:highlight w:val="none"/>
                <w:lang w:val="en-US" w:eastAsia="zh-CN"/>
              </w:rPr>
              <w:t xml:space="preserve">诚信投标承诺书</w:t>
            </w:r>
            <w:r>
              <w:rPr>
                <w:rFonts w:hint="eastAsia" w:ascii="宋体" w:hAnsi="宋体" w:cs="宋体"/>
                <w:sz w:val="22"/>
                <w:szCs w:val="22"/>
                <w:highlight w:val="none"/>
                <w:lang w:eastAsia="zh-CN"/>
              </w:rPr>
              <w:t xml:space="preserve">等资格条件</w:t>
            </w:r>
            <w:r>
              <w:rPr>
                <w:rFonts w:hint="eastAsia" w:ascii="宋体" w:hAnsi="宋体" w:eastAsia="宋体" w:cs="宋体"/>
                <w:sz w:val="22"/>
                <w:szCs w:val="22"/>
                <w:highlight w:val="none"/>
              </w:rPr>
              <w:t xml:space="preserve">）</w:t>
            </w:r>
            <w:r>
              <w:rPr>
                <w:rFonts w:hint="eastAsia" w:ascii="宋体" w:hAnsi="宋体" w:eastAsia="宋体" w:cs="宋体"/>
                <w:bCs/>
                <w:sz w:val="22"/>
                <w:szCs w:val="22"/>
                <w:highlight w:val="none"/>
                <w:lang w:val="en-US" w:eastAsia="zh-CN"/>
              </w:rPr>
              <w:t xml:space="preserve">。</w:t>
            </w:r>
            <w:r/>
          </w:p>
        </w:tc>
      </w:tr>
      <w:tr>
        <w:trPr>
          <w:jc w:val="center"/>
          <w:trHeight w:val="344"/>
        </w:trPr>
        <w:tc>
          <w:tcPr>
            <w:gridSpan w:val="5"/>
            <w:tcW w:w="9395" w:type="dxa"/>
            <w:vAlign w:val="center"/>
            <w:textDirection w:val="lrTb"/>
            <w:noWrap/>
          </w:tcPr>
          <w:p>
            <w:pPr>
              <w:jc w:val="center"/>
              <w:pageBreakBefore w:val="0"/>
              <w:spacing w:line="240" w:lineRule="auto"/>
              <w:rPr>
                <w:rFonts w:hint="eastAsia" w:ascii="宋体" w:hAnsi="宋体" w:eastAsia="宋体" w:cs="宋体"/>
                <w:b/>
                <w:color w:val="0d0d0d"/>
                <w:sz w:val="22"/>
                <w:szCs w:val="22"/>
                <w:highlight w:val="none"/>
              </w:rPr>
            </w:pPr>
            <w:r>
              <w:rPr>
                <w:rFonts w:hint="eastAsia" w:ascii="宋体" w:hAnsi="宋体" w:eastAsia="宋体" w:cs="宋体"/>
                <w:b/>
                <w:color w:val="0d0d0d"/>
                <w:sz w:val="22"/>
                <w:szCs w:val="22"/>
                <w:highlight w:val="none"/>
              </w:rPr>
              <w:t xml:space="preserve">响应文件不符合评审标准之一的，评审结论为不合格。</w:t>
            </w:r>
            <w:r/>
          </w:p>
        </w:tc>
      </w:tr>
      <w:tr>
        <w:trPr>
          <w:jc w:val="center"/>
          <w:trHeight w:val="336"/>
        </w:trPr>
        <w:tc>
          <w:tcPr>
            <w:gridSpan w:val="5"/>
            <w:tcW w:w="9395" w:type="dxa"/>
            <w:vAlign w:val="center"/>
            <w:textDirection w:val="lrTb"/>
            <w:noWrap/>
          </w:tcPr>
          <w:p>
            <w:pPr>
              <w:pStyle w:val="1336"/>
              <w:ind w:right="0"/>
              <w:pageBreakBefore w:val="0"/>
              <w:spacing w:before="0" w:line="240" w:lineRule="auto"/>
              <w:rPr>
                <w:rFonts w:hint="eastAsia" w:ascii="宋体" w:hAnsi="宋体" w:eastAsia="宋体" w:cs="宋体"/>
                <w:color w:val="0d0d0d"/>
                <w:sz w:val="22"/>
                <w:szCs w:val="22"/>
                <w:highlight w:val="none"/>
              </w:rPr>
            </w:pPr>
            <w:r>
              <w:rPr>
                <w:rFonts w:hint="eastAsia" w:ascii="宋体" w:hAnsi="宋体" w:eastAsia="宋体" w:cs="宋体"/>
                <w:b/>
                <w:sz w:val="22"/>
                <w:szCs w:val="22"/>
                <w:highlight w:val="none"/>
                <w:lang w:eastAsia="zh-CN"/>
              </w:rPr>
              <w:t xml:space="preserve">4.2响应性评审</w:t>
            </w:r>
            <w:r/>
          </w:p>
        </w:tc>
      </w:tr>
      <w:tr>
        <w:trPr>
          <w:jc w:val="center"/>
          <w:trHeight w:val="308"/>
        </w:trPr>
        <w:tc>
          <w:tcPr>
            <w:gridSpan w:val="2"/>
            <w:tcW w:w="1703"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评审事项</w:t>
            </w:r>
            <w:r/>
          </w:p>
        </w:tc>
        <w:tc>
          <w:tcPr>
            <w:gridSpan w:val="2"/>
            <w:tcW w:w="2170"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评审因素</w:t>
            </w:r>
            <w:r/>
          </w:p>
        </w:tc>
        <w:tc>
          <w:tcPr>
            <w:tcW w:w="5522"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评审标准</w:t>
            </w:r>
            <w:r/>
          </w:p>
        </w:tc>
      </w:tr>
      <w:tr>
        <w:trPr>
          <w:cantSplit/>
          <w:jc w:val="center"/>
          <w:trHeight w:val="308"/>
        </w:trPr>
        <w:tc>
          <w:tcPr>
            <w:gridSpan w:val="2"/>
            <w:tcW w:w="1703" w:type="dxa"/>
            <w:vAlign w:val="center"/>
            <w:vMerge w:val="restart"/>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响应性评审</w:t>
            </w:r>
            <w:r/>
          </w:p>
        </w:tc>
        <w:tc>
          <w:tcPr>
            <w:gridSpan w:val="2"/>
            <w:tcW w:w="2170"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报价</w:t>
            </w:r>
            <w:r/>
          </w:p>
        </w:tc>
        <w:tc>
          <w:tcPr>
            <w:tcW w:w="5522" w:type="dxa"/>
            <w:vAlign w:val="center"/>
            <w:textDirection w:val="lrTb"/>
            <w:noWrap/>
          </w:tcPr>
          <w:p>
            <w:pPr>
              <w:jc w:val="left"/>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有且只有一个有效报价，未超过最高限价</w:t>
            </w:r>
            <w:r/>
          </w:p>
        </w:tc>
      </w:tr>
      <w:tr>
        <w:trPr>
          <w:cantSplit/>
          <w:jc w:val="center"/>
          <w:trHeight w:val="607"/>
        </w:trPr>
        <w:tc>
          <w:tcPr>
            <w:gridSpan w:val="2"/>
            <w:tcW w:w="1703" w:type="dxa"/>
            <w:vAlign w:val="center"/>
            <w:vMerge w:val="continue"/>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r>
            <w:r/>
          </w:p>
        </w:tc>
        <w:tc>
          <w:tcPr>
            <w:gridSpan w:val="2"/>
            <w:tcW w:w="2170"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lang w:val="en-US" w:eastAsia="zh-CN"/>
              </w:rPr>
            </w:pPr>
            <w:r>
              <w:rPr>
                <w:rFonts w:hint="eastAsia" w:ascii="宋体" w:hAnsi="宋体" w:eastAsia="宋体" w:cs="宋体"/>
                <w:color w:val="0d0d0d"/>
                <w:sz w:val="22"/>
                <w:szCs w:val="22"/>
                <w:highlight w:val="none"/>
                <w:lang w:val="en-US" w:eastAsia="zh-CN"/>
              </w:rPr>
              <w:t xml:space="preserve">响应文件的编制和签署</w:t>
            </w:r>
            <w:r/>
          </w:p>
        </w:tc>
        <w:tc>
          <w:tcPr>
            <w:tcW w:w="5522" w:type="dxa"/>
            <w:vAlign w:val="center"/>
            <w:textDirection w:val="lrTb"/>
            <w:noWrap/>
          </w:tcPr>
          <w:p>
            <w:pPr>
              <w:jc w:val="left"/>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符合第二章“供应商须知”第</w:t>
            </w:r>
            <w:r>
              <w:rPr>
                <w:rFonts w:hint="eastAsia" w:ascii="宋体" w:hAnsi="宋体" w:eastAsia="宋体" w:cs="宋体"/>
                <w:sz w:val="22"/>
                <w:szCs w:val="22"/>
                <w:highlight w:val="none"/>
                <w:lang w:val="en-US" w:eastAsia="zh-CN"/>
              </w:rPr>
              <w:t xml:space="preserve">3.5和</w:t>
            </w:r>
            <w:r>
              <w:rPr>
                <w:rFonts w:hint="eastAsia" w:ascii="宋体" w:hAnsi="宋体" w:eastAsia="宋体" w:cs="宋体"/>
                <w:sz w:val="22"/>
                <w:szCs w:val="22"/>
                <w:highlight w:val="none"/>
              </w:rPr>
              <w:t xml:space="preserve">3.6项规定</w:t>
            </w:r>
            <w:r/>
          </w:p>
        </w:tc>
      </w:tr>
      <w:tr>
        <w:trPr>
          <w:cantSplit/>
          <w:jc w:val="center"/>
          <w:trHeight w:val="309"/>
        </w:trPr>
        <w:tc>
          <w:tcPr>
            <w:gridSpan w:val="2"/>
            <w:tcW w:w="1703" w:type="dxa"/>
            <w:vAlign w:val="center"/>
            <w:vMerge w:val="continue"/>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r>
            <w:r/>
          </w:p>
        </w:tc>
        <w:tc>
          <w:tcPr>
            <w:gridSpan w:val="2"/>
            <w:tcW w:w="2170" w:type="dxa"/>
            <w:vAlign w:val="center"/>
            <w:textDirection w:val="lrTb"/>
            <w:noWrap/>
          </w:tcPr>
          <w:p>
            <w:pPr>
              <w:jc w:val="center"/>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rPr>
              <w:t xml:space="preserve">合同履行期限</w:t>
            </w:r>
            <w:r/>
          </w:p>
        </w:tc>
        <w:tc>
          <w:tcPr>
            <w:tcW w:w="5522" w:type="dxa"/>
            <w:vAlign w:val="center"/>
            <w:textDirection w:val="lrTb"/>
            <w:noWrap/>
          </w:tcPr>
          <w:p>
            <w:pPr>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rPr>
              <w:t xml:space="preserve">符合第二章“供应商须知”第1.3.2项规定</w:t>
            </w:r>
            <w:r/>
          </w:p>
        </w:tc>
      </w:tr>
      <w:tr>
        <w:trPr>
          <w:cantSplit/>
          <w:jc w:val="center"/>
          <w:trHeight w:val="607"/>
        </w:trPr>
        <w:tc>
          <w:tcPr>
            <w:gridSpan w:val="2"/>
            <w:tcW w:w="1703" w:type="dxa"/>
            <w:vAlign w:val="center"/>
            <w:vMerge w:val="continue"/>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r>
            <w:r/>
          </w:p>
        </w:tc>
        <w:tc>
          <w:tcPr>
            <w:gridSpan w:val="2"/>
            <w:tcW w:w="2170"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技术要求响应</w:t>
            </w:r>
            <w:r/>
          </w:p>
        </w:tc>
        <w:tc>
          <w:tcPr>
            <w:tcW w:w="5522" w:type="dxa"/>
            <w:vAlign w:val="center"/>
            <w:textDirection w:val="lrTb"/>
            <w:noWrap/>
          </w:tcPr>
          <w:p>
            <w:pPr>
              <w:jc w:val="left"/>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如磋商后技术要求有变动的，按磋商后确定的</w:t>
            </w:r>
            <w:r>
              <w:rPr>
                <w:rFonts w:hint="eastAsia" w:ascii="宋体" w:hAnsi="宋体" w:eastAsia="宋体" w:cs="宋体"/>
                <w:sz w:val="22"/>
                <w:szCs w:val="22"/>
                <w:highlight w:val="none"/>
                <w:lang w:val="en-US" w:eastAsia="zh-CN"/>
              </w:rPr>
              <w:t xml:space="preserve">技术</w:t>
            </w:r>
            <w:r>
              <w:rPr>
                <w:rFonts w:hint="eastAsia" w:ascii="宋体" w:hAnsi="宋体" w:eastAsia="宋体" w:cs="宋体"/>
                <w:sz w:val="22"/>
                <w:szCs w:val="22"/>
                <w:highlight w:val="none"/>
              </w:rPr>
              <w:t xml:space="preserve">要求提供相应材料</w:t>
            </w:r>
            <w:r/>
          </w:p>
        </w:tc>
      </w:tr>
      <w:tr>
        <w:trPr>
          <w:cantSplit/>
          <w:jc w:val="center"/>
          <w:trHeight w:val="607"/>
        </w:trPr>
        <w:tc>
          <w:tcPr>
            <w:gridSpan w:val="2"/>
            <w:tcW w:w="1703" w:type="dxa"/>
            <w:vAlign w:val="center"/>
            <w:vMerge w:val="continue"/>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r>
            <w:r/>
          </w:p>
        </w:tc>
        <w:tc>
          <w:tcPr>
            <w:gridSpan w:val="2"/>
            <w:tcW w:w="2170"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商务要求响应</w:t>
            </w:r>
            <w:r/>
          </w:p>
        </w:tc>
        <w:tc>
          <w:tcPr>
            <w:tcW w:w="5522" w:type="dxa"/>
            <w:vAlign w:val="center"/>
            <w:textDirection w:val="lrTb"/>
            <w:noWrap/>
          </w:tcPr>
          <w:p>
            <w:pPr>
              <w:jc w:val="left"/>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如磋商后商务要求有变动的，按磋商后确定的商务要求提供相应材料</w:t>
            </w:r>
            <w:r/>
          </w:p>
        </w:tc>
      </w:tr>
      <w:tr>
        <w:trPr>
          <w:cantSplit/>
          <w:jc w:val="center"/>
          <w:trHeight w:val="607"/>
        </w:trPr>
        <w:tc>
          <w:tcPr>
            <w:gridSpan w:val="2"/>
            <w:tcW w:w="1703" w:type="dxa"/>
            <w:vAlign w:val="center"/>
            <w:vMerge w:val="continue"/>
            <w:textDirection w:val="lrTb"/>
            <w:noWrap/>
          </w:tcPr>
          <w:p>
            <w:pPr>
              <w:jc w:val="center"/>
              <w:pageBreakBefore w:val="0"/>
              <w:spacing w:line="240" w:lineRule="auto"/>
              <w:rPr>
                <w:rFonts w:hint="eastAsia" w:ascii="宋体" w:hAnsi="宋体" w:eastAsia="宋体" w:cs="宋体"/>
                <w:color w:val="0d0d0d"/>
                <w:sz w:val="22"/>
                <w:szCs w:val="22"/>
                <w:highlight w:val="none"/>
              </w:rPr>
            </w:pPr>
            <w:r/>
            <w:bookmarkStart w:id="495" w:name="OLE_LINK10"/>
            <w:r/>
            <w:bookmarkStart w:id="496" w:name="OLE_LINK9"/>
            <w:r/>
            <w:bookmarkStart w:id="497" w:name="_Hlk184662461"/>
            <w:r/>
            <w:r/>
          </w:p>
        </w:tc>
        <w:tc>
          <w:tcPr>
            <w:gridSpan w:val="2"/>
            <w:tcW w:w="2170"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合同草案条款响应</w:t>
            </w:r>
            <w:r/>
          </w:p>
        </w:tc>
        <w:tc>
          <w:tcPr>
            <w:tcW w:w="5522" w:type="dxa"/>
            <w:vAlign w:val="center"/>
            <w:textDirection w:val="lrTb"/>
            <w:noWrap/>
          </w:tcPr>
          <w:p>
            <w:pPr>
              <w:jc w:val="left"/>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如磋商后合同草案条款有变动的，按磋商后确定的合同草案条款响应</w:t>
            </w:r>
            <w:bookmarkEnd w:id="495"/>
            <w:r/>
            <w:bookmarkEnd w:id="496"/>
            <w:r/>
            <w:bookmarkEnd w:id="497"/>
            <w:r/>
            <w:r/>
          </w:p>
        </w:tc>
      </w:tr>
      <w:tr>
        <w:trPr>
          <w:jc w:val="center"/>
          <w:trHeight w:val="363"/>
        </w:trPr>
        <w:tc>
          <w:tcPr>
            <w:gridSpan w:val="5"/>
            <w:tcW w:w="9395" w:type="dxa"/>
            <w:vAlign w:val="center"/>
            <w:textDirection w:val="lrTb"/>
            <w:noWrap/>
          </w:tcPr>
          <w:p>
            <w:pPr>
              <w:jc w:val="center"/>
              <w:pageBreakBefore w:val="0"/>
              <w:spacing w:line="240" w:lineRule="auto"/>
              <w:rPr>
                <w:rFonts w:hint="eastAsia" w:ascii="宋体" w:hAnsi="宋体" w:eastAsia="宋体" w:cs="宋体"/>
                <w:b/>
                <w:color w:val="0d0d0d"/>
                <w:sz w:val="22"/>
                <w:szCs w:val="22"/>
                <w:highlight w:val="none"/>
              </w:rPr>
            </w:pPr>
            <w:r>
              <w:rPr>
                <w:rFonts w:hint="eastAsia" w:ascii="宋体" w:hAnsi="宋体" w:eastAsia="宋体" w:cs="宋体"/>
                <w:b/>
                <w:color w:val="0d0d0d"/>
                <w:sz w:val="22"/>
                <w:szCs w:val="22"/>
                <w:highlight w:val="none"/>
              </w:rPr>
              <w:t xml:space="preserve">响应文件不符合评审标准之一的，评审结论为不合格。</w:t>
            </w:r>
            <w:r/>
          </w:p>
        </w:tc>
      </w:tr>
      <w:tr>
        <w:trPr>
          <w:jc w:val="center"/>
          <w:trHeight w:val="324"/>
        </w:trPr>
        <w:tc>
          <w:tcPr>
            <w:gridSpan w:val="5"/>
            <w:tcW w:w="9395" w:type="dxa"/>
            <w:vAlign w:val="center"/>
            <w:textDirection w:val="lrTb"/>
            <w:noWrap/>
          </w:tcPr>
          <w:p>
            <w:pPr>
              <w:pStyle w:val="1336"/>
              <w:ind w:right="0"/>
              <w:pageBreakBefore w:val="0"/>
              <w:spacing w:before="0" w:line="240" w:lineRule="auto"/>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lang w:eastAsia="zh-CN"/>
              </w:rPr>
              <w:t xml:space="preserve">5.2详细评审</w:t>
            </w:r>
            <w:bookmarkEnd w:id="11"/>
            <w:r/>
            <w:bookmarkEnd w:id="12"/>
            <w:r/>
            <w:bookmarkEnd w:id="13"/>
            <w:r/>
            <w:bookmarkEnd w:id="14"/>
            <w:r/>
            <w:bookmarkEnd w:id="15"/>
            <w:r/>
            <w:bookmarkEnd w:id="16"/>
            <w:r/>
            <w:bookmarkEnd w:id="17"/>
            <w:r/>
            <w:bookmarkEnd w:id="18"/>
            <w:r/>
            <w:bookmarkEnd w:id="469"/>
            <w:r/>
            <w:bookmarkEnd w:id="470"/>
            <w:r/>
            <w:bookmarkEnd w:id="471"/>
            <w:r/>
            <w:bookmarkEnd w:id="472"/>
            <w:r/>
            <w:bookmarkEnd w:id="473"/>
            <w:r/>
            <w:bookmarkEnd w:id="474"/>
            <w:r/>
            <w:bookmarkEnd w:id="475"/>
            <w:r/>
            <w:bookmarkEnd w:id="476"/>
            <w:r/>
            <w:bookmarkEnd w:id="477"/>
            <w:r/>
            <w:bookmarkEnd w:id="485"/>
            <w:r/>
            <w:bookmarkEnd w:id="486"/>
            <w:r/>
            <w:bookmarkEnd w:id="487"/>
            <w:r/>
            <w:bookmarkEnd w:id="488"/>
            <w:r/>
            <w:bookmarkEnd w:id="489"/>
            <w:r/>
            <w:bookmarkEnd w:id="490"/>
            <w:r/>
            <w:bookmarkEnd w:id="491"/>
            <w:r/>
            <w:bookmarkEnd w:id="492"/>
            <w:r/>
            <w:bookmarkEnd w:id="493"/>
            <w:r/>
            <w:bookmarkEnd w:id="494"/>
            <w:r/>
            <w:r/>
          </w:p>
        </w:tc>
      </w:tr>
      <w:tr>
        <w:trPr>
          <w:jc w:val="center"/>
          <w:trHeight w:val="487"/>
        </w:trPr>
        <w:tc>
          <w:tcPr>
            <w:tcW w:w="431" w:type="dxa"/>
            <w:vAlign w:val="center"/>
            <w:textDirection w:val="lrTb"/>
            <w:noWrap w:val="false"/>
          </w:tcPr>
          <w:p>
            <w:pPr>
              <w:jc w:val="both"/>
              <w:pageBreakBefore w:val="0"/>
              <w:spacing w:line="240" w:lineRule="auto"/>
              <w:widowControl/>
              <w:rPr>
                <w:rFonts w:hint="eastAsia" w:ascii="宋体" w:hAnsi="宋体" w:eastAsia="宋体" w:cs="宋体"/>
                <w:b/>
                <w:bCs/>
                <w:color w:val="auto"/>
                <w:sz w:val="22"/>
                <w:szCs w:val="22"/>
                <w:highlight w:val="none"/>
              </w:rPr>
            </w:pPr>
            <w:r/>
            <w:bookmarkStart w:id="498" w:name="_Toc120614221"/>
            <w:r/>
            <w:bookmarkStart w:id="499" w:name="_Toc282446295"/>
            <w:r/>
            <w:bookmarkStart w:id="500" w:name="_Toc383623719"/>
            <w:r/>
            <w:bookmarkStart w:id="501" w:name="_Toc390098886"/>
            <w:r/>
            <w:bookmarkStart w:id="502" w:name="_Toc426469928"/>
            <w:r/>
            <w:bookmarkStart w:id="503" w:name="_Toc405388431"/>
            <w:r/>
            <w:bookmarkStart w:id="504" w:name="_Toc390246951"/>
            <w:r/>
            <w:bookmarkStart w:id="505" w:name="_Toc288030331"/>
            <w:r/>
            <w:bookmarkStart w:id="506" w:name="_Toc382813932"/>
            <w:r/>
            <w:bookmarkStart w:id="507" w:name="_Toc513029242"/>
            <w:r/>
            <w:bookmarkStart w:id="508" w:name="_Toc383698693"/>
            <w:r/>
            <w:bookmarkStart w:id="509" w:name="_Toc16938558"/>
            <w:r/>
            <w:bookmarkStart w:id="510" w:name="_Toc382814013"/>
            <w:r/>
            <w:bookmarkStart w:id="511" w:name="_Toc383587504"/>
            <w:r/>
            <w:bookmarkStart w:id="512" w:name="_Toc20823314"/>
            <w:r/>
            <w:bookmarkStart w:id="513" w:name="_Toc383626040"/>
            <w:r/>
            <w:bookmarkStart w:id="514" w:name="_Toc382812483"/>
            <w:r/>
            <w:bookmarkStart w:id="515" w:name="_Toc479757207"/>
            <w:r/>
            <w:bookmarkStart w:id="516" w:name="_Toc390099064"/>
            <w:r/>
            <w:bookmarkStart w:id="517" w:name="_Toc383623991"/>
            <w:r/>
            <w:bookmarkStart w:id="518" w:name="_Toc383679793"/>
            <w:r>
              <w:rPr>
                <w:rFonts w:hint="eastAsia" w:ascii="宋体" w:hAnsi="宋体" w:eastAsia="宋体" w:cs="宋体"/>
                <w:b/>
                <w:bCs/>
                <w:color w:val="auto"/>
                <w:sz w:val="22"/>
                <w:szCs w:val="22"/>
                <w:highlight w:val="none"/>
              </w:rPr>
              <w:t xml:space="preserve">序号</w:t>
            </w:r>
            <w:r/>
          </w:p>
        </w:tc>
        <w:tc>
          <w:tcPr>
            <w:tcW w:w="1272" w:type="dxa"/>
            <w:vAlign w:val="center"/>
            <w:textDirection w:val="lrTb"/>
            <w:noWrap w:val="false"/>
          </w:tcPr>
          <w:p>
            <w:pPr>
              <w:jc w:val="center"/>
              <w:pageBreakBefore w:val="0"/>
              <w:spacing w:line="24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得分组成</w:t>
            </w:r>
            <w:r/>
          </w:p>
        </w:tc>
        <w:tc>
          <w:tcPr>
            <w:tcW w:w="1941" w:type="dxa"/>
            <w:vAlign w:val="center"/>
            <w:textDirection w:val="lrTb"/>
            <w:noWrap w:val="false"/>
          </w:tcPr>
          <w:p>
            <w:pPr>
              <w:jc w:val="center"/>
              <w:pageBreakBefore w:val="0"/>
              <w:spacing w:line="24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评分标准</w:t>
            </w:r>
            <w:r/>
          </w:p>
          <w:p>
            <w:pPr>
              <w:jc w:val="center"/>
              <w:pageBreakBefore w:val="0"/>
              <w:spacing w:line="24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内容</w:t>
            </w:r>
            <w:r/>
          </w:p>
        </w:tc>
        <w:tc>
          <w:tcPr>
            <w:gridSpan w:val="2"/>
            <w:tcW w:w="5751" w:type="dxa"/>
            <w:vAlign w:val="center"/>
            <w:textDirection w:val="lrTb"/>
            <w:noWrap w:val="false"/>
          </w:tcPr>
          <w:p>
            <w:pPr>
              <w:jc w:val="center"/>
              <w:pageBreakBefore w:val="0"/>
              <w:spacing w:line="24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评分标准</w:t>
            </w:r>
            <w:r/>
          </w:p>
        </w:tc>
      </w:tr>
      <w:tr>
        <w:trPr>
          <w:jc w:val="center"/>
          <w:trHeight w:val="2106"/>
        </w:trPr>
        <w:tc>
          <w:tcPr>
            <w:tcW w:w="431"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1</w:t>
            </w:r>
            <w:r/>
          </w:p>
        </w:tc>
        <w:tc>
          <w:tcPr>
            <w:tcW w:w="1272"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投标报价</w:t>
            </w:r>
            <w:r/>
          </w:p>
          <w:p>
            <w:pPr>
              <w:ind w:left="0"/>
              <w:jc w:val="cente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部分</w:t>
            </w:r>
            <w:r/>
          </w:p>
          <w:p>
            <w:pPr>
              <w:ind w:left="0"/>
              <w:jc w:val="cente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eastAsia="en-US"/>
              </w:rPr>
              <w:t xml:space="preserve">（</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lang w:val="en-US" w:eastAsia="zh-CN"/>
              </w:rPr>
              <w:t xml:space="preserve">0</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en-US"/>
              </w:rPr>
              <w:t xml:space="preserve">）</w:t>
            </w:r>
            <w:r/>
          </w:p>
        </w:tc>
        <w:tc>
          <w:tcPr>
            <w:tcW w:w="1941"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投标报价</w:t>
            </w:r>
            <w:r/>
          </w:p>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gridSpan w:val="2"/>
            <w:tcW w:w="5751" w:type="dxa"/>
            <w:vAlign w:val="center"/>
            <w:textDirection w:val="lrTb"/>
            <w:noWrap w:val="false"/>
          </w:tcPr>
          <w:p>
            <w:pPr>
              <w:ind w:left="0"/>
              <w:jc w:val="both"/>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rPr>
              <w:t xml:space="preserve">资格性审查和符合性审查合格且价格最低的有效报价为评标基准价，其价格分为</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0分。其他供应商的价格分按照下列公式计算：投标报价得分=（评标基准价/最终磋商报价）×</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0分（小数点后四舍五入保留两位）。</w:t>
            </w:r>
            <w:r/>
          </w:p>
          <w:p>
            <w:pPr>
              <w:jc w:val="both"/>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注：1.供应商应仔细阅读和充分理解招标文件的采购需求和合同主要条款，根据自身实际情况并综合考虑合同履行过程中的各类风险，理性报价。</w:t>
            </w:r>
            <w:r/>
          </w:p>
          <w:p>
            <w:pPr>
              <w:numPr>
                <w:ilvl w:val="0"/>
                <w:numId w:val="1"/>
              </w:numPr>
              <w:jc w:val="both"/>
              <w:keepLines w:val="0"/>
              <w:keepNext w:val="0"/>
              <w:pageBreakBefore w:val="0"/>
              <w:spacing w:line="360" w:lineRule="exact"/>
              <w:widowControl w:val="off"/>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依据《关于推动</w:t>
            </w:r>
            <w:r>
              <w:rPr>
                <w:rFonts w:hint="eastAsia" w:ascii="宋体" w:hAnsi="宋体" w:eastAsia="宋体" w:cs="宋体"/>
                <w:color w:val="ff0000"/>
                <w:sz w:val="22"/>
                <w:szCs w:val="22"/>
                <w:highlight w:val="none"/>
                <w:lang w:val="en-US" w:eastAsia="zh-CN"/>
              </w:rPr>
              <w:t xml:space="preserve">解决</w:t>
            </w:r>
            <w:r>
              <w:rPr>
                <w:rFonts w:hint="eastAsia" w:ascii="宋体" w:hAnsi="宋体" w:eastAsia="宋体" w:cs="宋体"/>
                <w:color w:val="ff0000"/>
                <w:sz w:val="22"/>
                <w:szCs w:val="22"/>
                <w:highlight w:val="none"/>
              </w:rPr>
              <w:t xml:space="preserve">政府采购异常低价问题相关工作的通知》(苏财购[2025]62号文)规定</w:t>
            </w:r>
            <w:r>
              <w:rPr>
                <w:rFonts w:hint="eastAsia" w:ascii="宋体" w:hAnsi="宋体" w:eastAsia="宋体" w:cs="宋体"/>
                <w:color w:val="ff0000"/>
                <w:sz w:val="22"/>
                <w:szCs w:val="22"/>
                <w:highlight w:val="none"/>
                <w:lang w:val="en-US" w:eastAsia="zh-CN"/>
              </w:rPr>
              <w:t xml:space="preserve">:</w:t>
            </w:r>
            <w:r/>
          </w:p>
          <w:p>
            <w:pPr>
              <w:numPr>
                <w:ilvl w:val="0"/>
                <w:numId w:val="0"/>
              </w:numPr>
              <w:jc w:val="both"/>
              <w:keepLines w:val="0"/>
              <w:keepNext w:val="0"/>
              <w:pageBreakBefore w:val="0"/>
              <w:spacing w:line="360" w:lineRule="exact"/>
              <w:widowControl w:val="off"/>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lang w:val="en-US" w:eastAsia="zh-CN" w:bidi="ar-SA"/>
              </w:rPr>
              <w:t xml:space="preserve">(一)</w:t>
            </w:r>
            <w:r>
              <w:rPr>
                <w:rFonts w:hint="eastAsia" w:ascii="宋体" w:hAnsi="宋体" w:eastAsia="宋体" w:cs="宋体"/>
                <w:color w:val="ff0000"/>
                <w:sz w:val="22"/>
                <w:szCs w:val="22"/>
                <w:highlight w:val="none"/>
              </w:rPr>
              <w:t xml:space="preserve">评审过程中出现下列情形之一的，评审委员会应当启动异常低价投标(响应)审查程序</w:t>
            </w:r>
            <w:r>
              <w:rPr>
                <w:rFonts w:hint="eastAsia" w:ascii="宋体" w:hAnsi="宋体" w:eastAsia="宋体" w:cs="宋体"/>
                <w:color w:val="ff0000"/>
                <w:sz w:val="22"/>
                <w:szCs w:val="22"/>
                <w:highlight w:val="none"/>
                <w:lang w:val="en-US" w:eastAsia="zh-CN"/>
              </w:rPr>
              <w:t xml:space="preserve">:</w:t>
            </w:r>
            <w:r/>
          </w:p>
          <w:p>
            <w:pPr>
              <w:numPr>
                <w:ilvl w:val="0"/>
                <w:numId w:val="0"/>
              </w:numPr>
              <w:jc w:val="both"/>
              <w:keepLines w:val="0"/>
              <w:keepNext w:val="0"/>
              <w:pageBreakBefore w:val="0"/>
              <w:spacing w:line="360" w:lineRule="exact"/>
              <w:widowControl w:val="off"/>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(1)投标（响应）报价低于采购项目预算50%的，即投标（响应）报价＜采购项目预算×50%;(2)投标（响应）报价低于采购项目最高限价45%的，即投标（响应）报价＜采购项目最高限价×45%;(3)评审委员会认定的供应商报价过低、有可能影响产品质量或者不能诚信履约的其他情形。</w:t>
            </w:r>
            <w:r/>
          </w:p>
          <w:p>
            <w:pPr>
              <w:numPr>
                <w:ilvl w:val="0"/>
                <w:numId w:val="0"/>
              </w:numPr>
              <w:jc w:val="both"/>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color w:val="ff0000"/>
                <w:sz w:val="22"/>
                <w:szCs w:val="22"/>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cantSplit/>
          <w:jc w:val="center"/>
          <w:trHeight w:val="1173"/>
        </w:trPr>
        <w:tc>
          <w:tcPr>
            <w:tcW w:w="431"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2</w:t>
            </w:r>
            <w:r/>
          </w:p>
          <w:p>
            <w:pPr>
              <w:ind w:left="0"/>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br w:type="page" w:clear="all"/>
            </w:r>
            <w:r/>
          </w:p>
        </w:tc>
        <w:tc>
          <w:tcPr>
            <w:tcW w:w="1272" w:type="dxa"/>
            <w:vAlign w:val="center"/>
            <w:vMerge w:val="restart"/>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商务部分</w:t>
            </w:r>
            <w:r/>
          </w:p>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w:t>
            </w:r>
            <w:r>
              <w:rPr>
                <w:rFonts w:hint="eastAsia" w:ascii="宋体" w:hAnsi="宋体" w:eastAsia="宋体" w:cs="宋体"/>
                <w:sz w:val="22"/>
                <w:szCs w:val="22"/>
                <w:highlight w:val="none"/>
                <w:lang w:val="en-US" w:eastAsia="zh-CN"/>
              </w:rPr>
              <w:t xml:space="preserve">20</w:t>
            </w:r>
            <w:r>
              <w:rPr>
                <w:rFonts w:hint="eastAsia" w:ascii="宋体" w:hAnsi="宋体" w:eastAsia="宋体" w:cs="宋体"/>
                <w:sz w:val="22"/>
                <w:szCs w:val="22"/>
                <w:highlight w:val="none"/>
                <w:lang w:eastAsia="en-US"/>
              </w:rPr>
              <w:t xml:space="preserve">分）</w:t>
            </w:r>
            <w:r/>
          </w:p>
        </w:tc>
        <w:tc>
          <w:tcPr>
            <w:tcW w:w="1941"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eastAsia="en-US"/>
              </w:rPr>
              <w:t xml:space="preserve">项目</w:t>
            </w:r>
            <w:r>
              <w:rPr>
                <w:rFonts w:hint="eastAsia" w:ascii="宋体" w:hAnsi="宋体" w:eastAsia="宋体" w:cs="宋体"/>
                <w:sz w:val="22"/>
                <w:szCs w:val="22"/>
                <w:highlight w:val="none"/>
                <w:lang w:val="en-US" w:eastAsia="zh-CN"/>
              </w:rPr>
              <w:t xml:space="preserve">负责人</w:t>
            </w:r>
            <w:r/>
          </w:p>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lang w:eastAsia="en-US"/>
              </w:rPr>
              <w:t xml:space="preserve">分）</w:t>
            </w:r>
            <w:r/>
          </w:p>
        </w:tc>
        <w:tc>
          <w:tcPr>
            <w:gridSpan w:val="2"/>
            <w:tcW w:w="5751" w:type="dxa"/>
            <w:vAlign w:val="center"/>
            <w:textDirection w:val="lrTb"/>
            <w:noWrap w:val="false"/>
          </w:tcPr>
          <w:p>
            <w:pPr>
              <w:ind w:firstLine="210"/>
              <w:keepLines w:val="0"/>
              <w:keepNext w:val="0"/>
              <w:pageBreakBefore w:val="0"/>
              <w:spacing w:line="288" w:lineRule="auto"/>
              <w:widowControl/>
              <w:rPr>
                <w:rFonts w:hint="eastAsia" w:ascii="宋体" w:hAnsi="宋体" w:eastAsia="宋体" w:cs="宋体"/>
                <w:sz w:val="22"/>
                <w:szCs w:val="22"/>
                <w:highlight w:val="none"/>
              </w:rPr>
            </w:pPr>
            <w:r>
              <w:rPr>
                <w:rFonts w:hint="eastAsia" w:ascii="宋体" w:hAnsi="宋体" w:eastAsia="宋体" w:cs="宋体"/>
                <w:highlight w:val="none"/>
              </w:rPr>
              <w:t xml:space="preserve">供应商拟派项目负责人具备工程类</w:t>
            </w:r>
            <w:r>
              <w:rPr>
                <w:rFonts w:hint="eastAsia" w:ascii="宋体" w:hAnsi="宋体" w:eastAsia="宋体" w:cs="宋体"/>
                <w:highlight w:val="none"/>
                <w:lang w:val="en-US" w:eastAsia="zh-CN"/>
              </w:rPr>
              <w:t xml:space="preserve">中级</w:t>
            </w:r>
            <w:r>
              <w:rPr>
                <w:rFonts w:hint="eastAsia" w:ascii="宋体" w:hAnsi="宋体" w:eastAsia="宋体" w:cs="宋体"/>
                <w:highlight w:val="none"/>
              </w:rPr>
              <w:t xml:space="preserve">工程师职称的，得</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分；</w:t>
            </w:r>
            <w:r>
              <w:rPr>
                <w:rFonts w:hint="eastAsia" w:ascii="宋体" w:hAnsi="宋体" w:eastAsia="宋体" w:cs="宋体"/>
                <w:highlight w:val="none"/>
                <w:lang w:val="en-US" w:eastAsia="zh-CN"/>
              </w:rPr>
              <w:t xml:space="preserve">具备工程类高级工程师及以上职称的得5分；本项最高得5分</w:t>
            </w:r>
            <w:r>
              <w:rPr>
                <w:rFonts w:hint="eastAsia" w:ascii="宋体" w:hAnsi="宋体" w:eastAsia="宋体" w:cs="宋体"/>
                <w:sz w:val="22"/>
                <w:szCs w:val="22"/>
                <w:highlight w:val="none"/>
              </w:rPr>
              <w:t xml:space="preserve">。</w:t>
            </w:r>
            <w:r/>
          </w:p>
          <w:p>
            <w:pPr>
              <w:ind w:left="0"/>
              <w:jc w:val="both"/>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color w:val="000000"/>
                <w:sz w:val="22"/>
                <w:szCs w:val="22"/>
                <w:highlight w:val="none"/>
                <w:lang w:val="en-US" w:eastAsia="zh-CN"/>
              </w:rPr>
              <w:t xml:space="preserve">注：1、</w:t>
            </w:r>
            <w:r>
              <w:rPr>
                <w:rFonts w:hint="eastAsia" w:ascii="宋体" w:hAnsi="宋体" w:eastAsia="宋体" w:cs="宋体"/>
                <w:sz w:val="22"/>
                <w:szCs w:val="22"/>
                <w:highlight w:val="none"/>
              </w:rPr>
              <w:t xml:space="preserve">提供派项目负责人的职称证及供应商为其缴纳提交响应文件截止时间前当月或上月的</w:t>
            </w:r>
            <w:r>
              <w:rPr>
                <w:rFonts w:hint="eastAsia" w:ascii="宋体" w:hAnsi="宋体" w:eastAsia="宋体" w:cs="宋体"/>
                <w:sz w:val="22"/>
                <w:szCs w:val="22"/>
                <w:highlight w:val="none"/>
                <w:lang w:val="en-US" w:eastAsia="zh-CN"/>
              </w:rPr>
              <w:t xml:space="preserve">养老保险</w:t>
            </w:r>
            <w:r>
              <w:rPr>
                <w:rFonts w:hint="eastAsia" w:ascii="宋体" w:hAnsi="宋体" w:eastAsia="宋体" w:cs="宋体"/>
                <w:sz w:val="22"/>
                <w:szCs w:val="22"/>
                <w:highlight w:val="none"/>
              </w:rPr>
              <w:t xml:space="preserve">证明</w:t>
            </w:r>
            <w:r>
              <w:rPr>
                <w:rFonts w:hint="eastAsia" w:ascii="宋体" w:hAnsi="宋体" w:eastAsia="宋体" w:cs="宋体"/>
                <w:sz w:val="22"/>
                <w:szCs w:val="22"/>
                <w:highlight w:val="none"/>
                <w:lang w:val="en-US" w:eastAsia="zh-CN"/>
              </w:rPr>
              <w:t xml:space="preserve">材料</w:t>
            </w:r>
            <w:r>
              <w:rPr>
                <w:rFonts w:hint="eastAsia" w:ascii="宋体" w:hAnsi="宋体" w:eastAsia="宋体" w:cs="宋体"/>
                <w:sz w:val="22"/>
                <w:szCs w:val="22"/>
                <w:highlight w:val="none"/>
              </w:rPr>
              <w:t xml:space="preserve">扫描件上传系统加盖电子签章，否则不得分。</w:t>
            </w:r>
            <w:r/>
          </w:p>
          <w:p>
            <w:pPr>
              <w:ind w:left="0"/>
              <w:jc w:val="both"/>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仅对供应商所报符合上述要求职称中的最高等次计分，且只计算一次，不重复累计。</w:t>
            </w:r>
            <w:r/>
          </w:p>
        </w:tc>
      </w:tr>
      <w:tr>
        <w:trPr>
          <w:cantSplit/>
          <w:jc w:val="center"/>
          <w:trHeight w:val="1639"/>
        </w:trPr>
        <w:tc>
          <w:tcPr>
            <w:tcW w:w="431"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272"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c>
          <w:tcPr>
            <w:tcW w:w="1941"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管理体系认证证书</w:t>
            </w:r>
            <w:r/>
          </w:p>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lang w:eastAsia="en-US"/>
              </w:rPr>
              <w:t xml:space="preserve">分）</w:t>
            </w:r>
            <w:r/>
          </w:p>
        </w:tc>
        <w:tc>
          <w:tcPr>
            <w:gridSpan w:val="2"/>
            <w:tcW w:w="5751" w:type="dxa"/>
            <w:vAlign w:val="center"/>
            <w:textDirection w:val="lrTb"/>
            <w:noWrap w:val="false"/>
          </w:tcPr>
          <w:p>
            <w:pPr>
              <w:ind w:left="0"/>
              <w:jc w:val="both"/>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供应商具有有效的质量管理体系认证证书、环境管理体系认证证书、职业健康安全管理体系认证证书的，有一个得</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分，最多得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w:t>
            </w:r>
            <w:r/>
          </w:p>
          <w:p>
            <w:pPr>
              <w:ind w:left="0"/>
              <w:jc w:val="both"/>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注：证书均必须在有效期内并能够在国家认证认可监督管理委员会网址可查询且查询状态为有效。查询网址：http://cx.cnca.cn/CertECloud/index/index/page，并提供相应证书扫描件上传系统加盖电子签章，否则不得分。</w:t>
            </w:r>
            <w:bookmarkStart w:id="1543" w:name="_GoBack"/>
            <w:r/>
            <w:bookmarkEnd w:id="1543"/>
            <w:r/>
            <w:r/>
          </w:p>
        </w:tc>
      </w:tr>
      <w:tr>
        <w:trPr>
          <w:cantSplit/>
          <w:jc w:val="center"/>
          <w:trHeight w:val="2180"/>
        </w:trPr>
        <w:tc>
          <w:tcPr>
            <w:tcW w:w="431"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272"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c>
          <w:tcPr>
            <w:tcW w:w="1941"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业绩</w:t>
            </w:r>
            <w:r/>
          </w:p>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12</w:t>
            </w:r>
            <w:r>
              <w:rPr>
                <w:rFonts w:hint="eastAsia" w:ascii="宋体" w:hAnsi="宋体" w:eastAsia="宋体" w:cs="宋体"/>
                <w:sz w:val="22"/>
                <w:szCs w:val="22"/>
                <w:highlight w:val="none"/>
                <w:lang w:eastAsia="en-US"/>
              </w:rPr>
              <w:t xml:space="preserve">分）</w:t>
            </w:r>
            <w:r/>
          </w:p>
        </w:tc>
        <w:tc>
          <w:tcPr>
            <w:gridSpan w:val="2"/>
            <w:tcW w:w="5751" w:type="dxa"/>
            <w:vAlign w:val="center"/>
            <w:textDirection w:val="lrTb"/>
            <w:noWrap w:val="false"/>
          </w:tcPr>
          <w:p>
            <w:pPr>
              <w:ind w:firstLine="440"/>
              <w:jc w:val="both"/>
              <w:keepLines w:val="0"/>
              <w:keepNext w:val="0"/>
              <w:pageBreakBefore w:val="0"/>
              <w:spacing w:line="360" w:lineRule="exact"/>
              <w:widowControl w:val="off"/>
              <w:rPr>
                <w:rFonts w:hint="eastAsia"/>
                <w:sz w:val="22"/>
                <w:szCs w:val="22"/>
                <w:highlight w:val="none"/>
              </w:rPr>
            </w:pPr>
            <w:r>
              <w:rPr>
                <w:rFonts w:hint="eastAsia"/>
                <w:sz w:val="22"/>
                <w:szCs w:val="22"/>
                <w:highlight w:val="none"/>
              </w:rPr>
              <w:t xml:space="preserve">供应商自2021年1月1日至今（以竣工（完工）验收证明材料载明的日期为准）承接并完成过</w:t>
            </w:r>
            <w:r>
              <w:rPr>
                <w:rFonts w:hint="eastAsia"/>
                <w:sz w:val="22"/>
                <w:szCs w:val="22"/>
                <w:highlight w:val="none"/>
                <w:lang w:eastAsia="zh-CN"/>
              </w:rPr>
              <w:t xml:space="preserve">类似</w:t>
            </w:r>
            <w:r>
              <w:rPr>
                <w:rFonts w:hint="eastAsia"/>
                <w:sz w:val="22"/>
                <w:szCs w:val="22"/>
                <w:highlight w:val="none"/>
              </w:rPr>
              <w:t xml:space="preserve">工程</w:t>
            </w:r>
            <w:r>
              <w:rPr>
                <w:rFonts w:hint="eastAsia"/>
                <w:sz w:val="22"/>
                <w:szCs w:val="22"/>
                <w:highlight w:val="none"/>
                <w:lang w:eastAsia="zh-CN"/>
              </w:rPr>
              <w:t xml:space="preserve">施工</w:t>
            </w:r>
            <w:r>
              <w:rPr>
                <w:rFonts w:hint="eastAsia"/>
                <w:sz w:val="22"/>
                <w:szCs w:val="22"/>
                <w:highlight w:val="none"/>
              </w:rPr>
              <w:t xml:space="preserve">业绩的</w:t>
            </w:r>
            <w:r>
              <w:rPr>
                <w:rFonts w:hint="eastAsia"/>
                <w:sz w:val="22"/>
                <w:szCs w:val="22"/>
                <w:highlight w:val="none"/>
                <w:lang w:eastAsia="zh-CN"/>
              </w:rPr>
              <w:t xml:space="preserve">；</w:t>
            </w:r>
            <w:r>
              <w:rPr>
                <w:rFonts w:hint="eastAsia"/>
                <w:sz w:val="22"/>
                <w:szCs w:val="22"/>
                <w:highlight w:val="none"/>
              </w:rPr>
              <w:t xml:space="preserve">每有一个得</w:t>
            </w:r>
            <w:r>
              <w:rPr>
                <w:rFonts w:hint="eastAsia"/>
                <w:sz w:val="22"/>
                <w:szCs w:val="22"/>
                <w:highlight w:val="none"/>
                <w:lang w:val="en-US" w:eastAsia="zh-CN"/>
              </w:rPr>
              <w:t xml:space="preserve">6</w:t>
            </w:r>
            <w:r>
              <w:rPr>
                <w:rFonts w:hint="eastAsia"/>
                <w:sz w:val="22"/>
                <w:szCs w:val="22"/>
                <w:highlight w:val="none"/>
              </w:rPr>
              <w:t xml:space="preserve">分，本项最高得</w:t>
            </w:r>
            <w:r>
              <w:rPr>
                <w:rFonts w:hint="eastAsia"/>
                <w:sz w:val="22"/>
                <w:szCs w:val="22"/>
                <w:highlight w:val="none"/>
                <w:lang w:val="en-US" w:eastAsia="zh-CN"/>
              </w:rPr>
              <w:t xml:space="preserve">12</w:t>
            </w:r>
            <w:r>
              <w:rPr>
                <w:rFonts w:hint="eastAsia"/>
                <w:sz w:val="22"/>
                <w:szCs w:val="22"/>
                <w:highlight w:val="none"/>
              </w:rPr>
              <w:t xml:space="preserve">分。</w:t>
            </w:r>
            <w:r/>
          </w:p>
          <w:p>
            <w:pPr>
              <w:ind w:left="0"/>
              <w:jc w:val="both"/>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b/>
                <w:bCs/>
                <w:highlight w:val="none"/>
              </w:rPr>
              <w:t xml:space="preserve">注：①业绩证明材料须同时提供成交通知书或成交通知书（直接发包项目如没有成交通知书或成交通知书，须提供采购方出具的加盖单位公章的直接发包证明）、施工合同</w:t>
            </w:r>
            <w:r>
              <w:rPr>
                <w:rFonts w:hint="eastAsia" w:ascii="宋体" w:hAnsi="宋体" w:eastAsia="宋体" w:cs="宋体"/>
                <w:b/>
                <w:bCs/>
                <w:highlight w:val="none"/>
                <w:lang w:val="en-US" w:eastAsia="zh-CN"/>
              </w:rPr>
              <w:t xml:space="preserve">及</w:t>
            </w:r>
            <w:r>
              <w:rPr>
                <w:rFonts w:hint="eastAsia" w:ascii="宋体" w:hAnsi="宋体" w:eastAsia="宋体" w:cs="宋体"/>
                <w:b/>
                <w:bCs/>
                <w:highlight w:val="none"/>
              </w:rPr>
              <w:t xml:space="preserve">竣工验收证明材料扫描件上传系统加盖电子签章</w:t>
            </w:r>
            <w:r>
              <w:rPr>
                <w:rFonts w:hint="eastAsia" w:ascii="宋体" w:hAnsi="宋体" w:eastAsia="宋体" w:cs="宋体"/>
                <w:b/>
                <w:bCs/>
                <w:highlight w:val="none"/>
                <w:lang w:eastAsia="zh-CN"/>
              </w:rPr>
              <w:t xml:space="preserve">，</w:t>
            </w:r>
            <w:r>
              <w:rPr>
                <w:rFonts w:hint="eastAsia" w:ascii="宋体" w:hAnsi="宋体" w:eastAsia="宋体" w:cs="宋体"/>
                <w:b/>
                <w:bCs/>
                <w:highlight w:val="none"/>
                <w:lang w:val="en-US" w:eastAsia="zh-CN"/>
              </w:rPr>
              <w:t xml:space="preserve">缺一不可，否则</w:t>
            </w:r>
            <w:r>
              <w:rPr>
                <w:rFonts w:hint="eastAsia" w:ascii="宋体" w:hAnsi="宋体" w:eastAsia="宋体" w:cs="宋体"/>
                <w:b/>
                <w:bCs/>
                <w:highlight w:val="none"/>
              </w:rPr>
              <w:t xml:space="preserve">不得分。②如业绩证明材料中的内容不能体现业绩</w:t>
            </w:r>
            <w:r>
              <w:rPr>
                <w:rFonts w:hint="eastAsia" w:ascii="宋体" w:hAnsi="宋体" w:eastAsia="宋体" w:cs="宋体"/>
                <w:b/>
                <w:bCs/>
                <w:highlight w:val="none"/>
                <w:lang w:val="en-US" w:eastAsia="zh-CN"/>
              </w:rPr>
              <w:t xml:space="preserve">内容</w:t>
            </w:r>
            <w:r>
              <w:rPr>
                <w:rFonts w:hint="eastAsia" w:ascii="宋体" w:hAnsi="宋体" w:eastAsia="宋体" w:cs="宋体"/>
                <w:b/>
                <w:bCs/>
                <w:highlight w:val="none"/>
              </w:rPr>
              <w:t xml:space="preserve">的，则须提供其他相关佐证材料，如：业绩工程的预算（或招标控制价）或图纸或业绩采购方出具的加盖单位公章的证明等。</w:t>
            </w:r>
            <w:r/>
          </w:p>
        </w:tc>
      </w:tr>
      <w:tr>
        <w:trPr>
          <w:cantSplit/>
          <w:jc w:val="center"/>
          <w:trHeight w:val="1662"/>
        </w:trPr>
        <w:tc>
          <w:tcPr>
            <w:tcW w:w="431" w:type="dxa"/>
            <w:vAlign w:val="center"/>
            <w:vMerge w:val="restart"/>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3</w:t>
            </w:r>
            <w:r/>
          </w:p>
        </w:tc>
        <w:tc>
          <w:tcPr>
            <w:tcW w:w="1272" w:type="dxa"/>
            <w:vAlign w:val="center"/>
            <w:vMerge w:val="restart"/>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en-US"/>
              </w:rPr>
              <w:t xml:space="preserve">技术部分</w:t>
            </w:r>
            <w:r/>
          </w:p>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en-US"/>
              </w:rPr>
              <w:t xml:space="preserve">（</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lang w:val="en-US" w:eastAsia="zh-CN"/>
              </w:rPr>
              <w:t xml:space="preserve">0</w:t>
            </w:r>
            <w:r>
              <w:rPr>
                <w:rFonts w:hint="eastAsia" w:ascii="宋体" w:hAnsi="宋体" w:eastAsia="宋体" w:cs="宋体"/>
                <w:sz w:val="22"/>
                <w:szCs w:val="22"/>
                <w:highlight w:val="none"/>
                <w:lang w:eastAsia="zh-CN"/>
              </w:rPr>
              <w:t xml:space="preserve">分）</w:t>
            </w:r>
            <w:r/>
          </w:p>
        </w:tc>
        <w:tc>
          <w:tcPr>
            <w:tcW w:w="1941" w:type="dxa"/>
            <w:vAlign w:val="center"/>
            <w:textDirection w:val="lrTb"/>
            <w:noWrap w:val="false"/>
          </w:tcPr>
          <w:p>
            <w:pPr>
              <w:ind w:left="0" w:firstLine="220"/>
              <w:jc w:val="center"/>
              <w:keepLines w:val="0"/>
              <w:keepNext w:val="0"/>
              <w:pageBreakBefore w:val="0"/>
              <w:spacing w:line="360" w:lineRule="exact"/>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工程概述、总体安排、及施工部署等</w:t>
            </w:r>
            <w:r/>
          </w:p>
          <w:p>
            <w:pPr>
              <w:ind w:left="0" w:firstLine="220"/>
              <w:jc w:val="center"/>
              <w:keepLines w:val="0"/>
              <w:keepNext w:val="0"/>
              <w:pageBreakBefore w:val="0"/>
              <w:spacing w:line="360" w:lineRule="exact"/>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lang w:val="en-US" w:eastAsia="zh-CN"/>
              </w:rPr>
              <w:t xml:space="preserve">10</w:t>
            </w:r>
            <w:r>
              <w:rPr>
                <w:rFonts w:hint="eastAsia" w:ascii="宋体" w:hAnsi="宋体" w:eastAsia="宋体" w:cs="宋体"/>
                <w:sz w:val="22"/>
                <w:szCs w:val="22"/>
                <w:highlight w:val="none"/>
                <w:lang w:eastAsia="zh-CN"/>
              </w:rPr>
              <w:t xml:space="preserve">分）</w:t>
            </w:r>
            <w:r/>
          </w:p>
        </w:tc>
        <w:tc>
          <w:tcPr>
            <w:gridSpan w:val="2"/>
            <w:tcW w:w="5751" w:type="dxa"/>
            <w:vAlign w:val="center"/>
            <w:textDirection w:val="lrTb"/>
            <w:noWrap w:val="false"/>
          </w:tcPr>
          <w:p>
            <w:pPr>
              <w:ind w:left="0" w:firstLine="220"/>
              <w:jc w:val="both"/>
              <w:keepLines w:val="0"/>
              <w:keepNext w:val="0"/>
              <w:pageBreakBefore w:val="0"/>
              <w:spacing w:line="360" w:lineRule="exact"/>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根据投标人提供的本工程的工程概述、总体安排、及施工部署等内容进行评分：细致全面、合理、完全响应需求，技术可行性强得</w:t>
            </w:r>
            <w:r>
              <w:rPr>
                <w:rFonts w:hint="eastAsia" w:ascii="宋体" w:hAnsi="宋体" w:cs="宋体"/>
                <w:sz w:val="22"/>
                <w:szCs w:val="22"/>
                <w:highlight w:val="none"/>
                <w:lang w:val="en-US" w:eastAsia="zh-CN"/>
              </w:rPr>
              <w:t xml:space="preserve">10</w:t>
            </w:r>
            <w:r>
              <w:rPr>
                <w:rFonts w:hint="eastAsia" w:ascii="宋体" w:hAnsi="宋体" w:eastAsia="宋体" w:cs="宋体"/>
                <w:sz w:val="22"/>
                <w:szCs w:val="22"/>
                <w:highlight w:val="none"/>
                <w:lang w:eastAsia="zh-CN"/>
              </w:rPr>
              <w:t xml:space="preserve">分；较为完整、基本响应需求的得</w:t>
            </w:r>
            <w:r>
              <w:rPr>
                <w:rFonts w:hint="eastAsia" w:ascii="宋体" w:hAnsi="宋体" w:cs="宋体"/>
                <w:sz w:val="22"/>
                <w:szCs w:val="22"/>
                <w:highlight w:val="none"/>
                <w:lang w:val="en-US" w:eastAsia="zh-CN"/>
              </w:rPr>
              <w:t xml:space="preserve">7</w:t>
            </w:r>
            <w:r>
              <w:rPr>
                <w:rFonts w:hint="eastAsia" w:ascii="宋体" w:hAnsi="宋体" w:eastAsia="宋体" w:cs="宋体"/>
                <w:sz w:val="22"/>
                <w:szCs w:val="22"/>
                <w:highlight w:val="none"/>
                <w:lang w:eastAsia="zh-CN"/>
              </w:rPr>
              <w:t xml:space="preserve">分；不完全、响应度低、技术可行性低得</w:t>
            </w:r>
            <w:r>
              <w:rPr>
                <w:rFonts w:hint="eastAsia" w:ascii="宋体" w:hAnsi="宋体" w:cs="宋体"/>
                <w:sz w:val="22"/>
                <w:szCs w:val="22"/>
                <w:highlight w:val="none"/>
                <w:lang w:val="en-US" w:eastAsia="zh-CN"/>
              </w:rPr>
              <w:t xml:space="preserve">4</w:t>
            </w:r>
            <w:r>
              <w:rPr>
                <w:rFonts w:hint="eastAsia" w:ascii="宋体" w:hAnsi="宋体" w:eastAsia="宋体" w:cs="宋体"/>
                <w:sz w:val="22"/>
                <w:szCs w:val="22"/>
                <w:highlight w:val="none"/>
                <w:lang w:eastAsia="zh-CN"/>
              </w:rPr>
              <w:t xml:space="preserve">分；不提供不得分。</w:t>
            </w:r>
            <w:r/>
          </w:p>
        </w:tc>
      </w:tr>
      <w:tr>
        <w:trPr>
          <w:cantSplit/>
          <w:jc w:val="center"/>
          <w:trHeight w:val="1395"/>
        </w:trPr>
        <w:tc>
          <w:tcPr>
            <w:tcW w:w="431"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1272"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1941"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highlight w:val="none"/>
              </w:rPr>
              <w:t xml:space="preserve">关于本工程施工进度计划的描述，以及为完成该计划所定措施（</w:t>
            </w:r>
            <w:r>
              <w:rPr>
                <w:rFonts w:hint="eastAsia" w:ascii="宋体" w:hAnsi="宋体" w:cs="宋体"/>
                <w:highlight w:val="none"/>
                <w:lang w:val="en-US" w:eastAsia="zh-CN"/>
              </w:rPr>
              <w:t xml:space="preserve">10</w:t>
            </w:r>
            <w:r>
              <w:rPr>
                <w:rFonts w:hint="eastAsia" w:ascii="宋体" w:hAnsi="宋体" w:eastAsia="宋体" w:cs="宋体"/>
                <w:highlight w:val="none"/>
              </w:rPr>
              <w:t xml:space="preserve">分）</w:t>
            </w:r>
            <w:r/>
          </w:p>
        </w:tc>
        <w:tc>
          <w:tcPr>
            <w:gridSpan w:val="2"/>
            <w:tcW w:w="5751"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highlight w:val="none"/>
              </w:rPr>
              <w:t xml:space="preserve">根据本工程施工进度计划的描述，以及为完成该计划所定措施等内容进行评分：细致全面、合理、完全响应需求，技术可行性强得</w:t>
            </w:r>
            <w:r>
              <w:rPr>
                <w:rFonts w:hint="eastAsia" w:ascii="宋体" w:hAnsi="宋体" w:cs="宋体"/>
                <w:highlight w:val="none"/>
                <w:lang w:val="en-US" w:eastAsia="zh-CN"/>
              </w:rPr>
              <w:t xml:space="preserve">10</w:t>
            </w:r>
            <w:r>
              <w:rPr>
                <w:rFonts w:hint="eastAsia" w:ascii="宋体" w:hAnsi="宋体" w:eastAsia="宋体" w:cs="宋体"/>
                <w:highlight w:val="none"/>
              </w:rPr>
              <w:t xml:space="preserve">分；较为完整、基本响应需求的得</w:t>
            </w:r>
            <w:r>
              <w:rPr>
                <w:rFonts w:hint="eastAsia" w:ascii="宋体" w:hAnsi="宋体" w:cs="宋体"/>
                <w:highlight w:val="none"/>
                <w:lang w:val="en-US" w:eastAsia="zh-CN"/>
              </w:rPr>
              <w:t xml:space="preserve">7</w:t>
            </w:r>
            <w:r>
              <w:rPr>
                <w:rFonts w:hint="eastAsia" w:ascii="宋体" w:hAnsi="宋体" w:eastAsia="宋体" w:cs="宋体"/>
                <w:highlight w:val="none"/>
              </w:rPr>
              <w:t xml:space="preserve">分；不完全、响应度低、技术可行性低得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分；不提供不得分。</w:t>
            </w:r>
            <w:r/>
          </w:p>
        </w:tc>
      </w:tr>
      <w:tr>
        <w:trPr>
          <w:cantSplit/>
          <w:jc w:val="center"/>
          <w:trHeight w:val="2630"/>
        </w:trPr>
        <w:tc>
          <w:tcPr>
            <w:tcW w:w="431"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bookmarkStart w:id="519" w:name="OLE_LINK13"/>
            <w:r/>
            <w:bookmarkStart w:id="520" w:name="OLE_LINK14"/>
            <w:r/>
            <w:bookmarkStart w:id="521" w:name="_Hlk184665934"/>
            <w:r/>
            <w:r/>
          </w:p>
        </w:tc>
        <w:tc>
          <w:tcPr>
            <w:tcW w:w="1272"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1941"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highlight w:val="none"/>
              </w:rPr>
            </w:pPr>
            <w:r>
              <w:rPr>
                <w:rFonts w:hint="eastAsia" w:ascii="宋体" w:hAnsi="宋体" w:eastAsia="宋体" w:cs="宋体"/>
                <w:highlight w:val="none"/>
              </w:rPr>
              <w:t xml:space="preserve">工程分部分项工程的施工方案、关键施工技术、工艺及工程项目实施的重点、难点和解决方案、具体施工技术措施</w:t>
            </w:r>
            <w:r/>
          </w:p>
          <w:p>
            <w:pPr>
              <w:jc w:val="center"/>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highlight w:val="none"/>
              </w:rPr>
              <w:t xml:space="preserve">（</w:t>
            </w:r>
            <w:r>
              <w:rPr>
                <w:rFonts w:hint="eastAsia" w:ascii="宋体" w:hAnsi="宋体" w:cs="宋体"/>
                <w:highlight w:val="none"/>
                <w:lang w:val="en-US" w:eastAsia="zh-CN"/>
              </w:rPr>
              <w:t xml:space="preserve">10</w:t>
            </w:r>
            <w:r>
              <w:rPr>
                <w:rFonts w:hint="eastAsia" w:ascii="宋体" w:hAnsi="宋体" w:eastAsia="宋体" w:cs="宋体"/>
                <w:highlight w:val="none"/>
              </w:rPr>
              <w:t xml:space="preserve">分）</w:t>
            </w:r>
            <w:bookmarkEnd w:id="519"/>
            <w:r/>
            <w:bookmarkEnd w:id="520"/>
            <w:r/>
            <w:bookmarkEnd w:id="521"/>
            <w:r/>
            <w:r/>
          </w:p>
        </w:tc>
        <w:tc>
          <w:tcPr>
            <w:gridSpan w:val="2"/>
            <w:tcW w:w="5751"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highlight w:val="none"/>
              </w:rPr>
              <w:t xml:space="preserve">根据投标人提供的本工程的施工方案、关键施工技术、工艺及工程项目实施的重点、难点和解决方案、具体施工技术措施等内容进行评分：细致全面、合理、完全响应需求，技术可行性强得</w:t>
            </w:r>
            <w:r>
              <w:rPr>
                <w:rFonts w:hint="eastAsia" w:ascii="宋体" w:hAnsi="宋体" w:cs="宋体"/>
                <w:highlight w:val="none"/>
                <w:lang w:val="en-US" w:eastAsia="zh-CN"/>
              </w:rPr>
              <w:t xml:space="preserve">10</w:t>
            </w:r>
            <w:r>
              <w:rPr>
                <w:rFonts w:hint="eastAsia" w:ascii="宋体" w:hAnsi="宋体" w:eastAsia="宋体" w:cs="宋体"/>
                <w:highlight w:val="none"/>
              </w:rPr>
              <w:t xml:space="preserve">分；较为完整、基本响应需求的得</w:t>
            </w:r>
            <w:r>
              <w:rPr>
                <w:rFonts w:hint="eastAsia" w:ascii="宋体" w:hAnsi="宋体" w:cs="宋体"/>
                <w:highlight w:val="none"/>
                <w:lang w:val="en-US" w:eastAsia="zh-CN"/>
              </w:rPr>
              <w:t xml:space="preserve">7</w:t>
            </w:r>
            <w:r>
              <w:rPr>
                <w:rFonts w:hint="eastAsia" w:ascii="宋体" w:hAnsi="宋体" w:eastAsia="宋体" w:cs="宋体"/>
                <w:highlight w:val="none"/>
              </w:rPr>
              <w:t xml:space="preserve">分；不完全、响应度低、技术可行性低得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分；不提供不得分。</w:t>
            </w:r>
            <w:r/>
          </w:p>
        </w:tc>
      </w:tr>
      <w:tr>
        <w:trPr>
          <w:cantSplit/>
          <w:jc w:val="center"/>
          <w:trHeight w:val="1802"/>
        </w:trPr>
        <w:tc>
          <w:tcPr>
            <w:tcW w:w="431"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lang w:eastAsia="en-US"/>
              </w:rPr>
            </w:pPr>
            <w:r/>
            <w:bookmarkStart w:id="522" w:name="OLE_LINK16"/>
            <w:r/>
            <w:bookmarkStart w:id="523" w:name="_Hlk184665959"/>
            <w:r/>
            <w:bookmarkStart w:id="524" w:name="OLE_LINK15"/>
            <w:r/>
            <w:r/>
          </w:p>
        </w:tc>
        <w:tc>
          <w:tcPr>
            <w:tcW w:w="1272"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1941"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highlight w:val="none"/>
              </w:rPr>
            </w:pPr>
            <w:r>
              <w:rPr>
                <w:rFonts w:hint="eastAsia" w:ascii="宋体" w:hAnsi="宋体" w:eastAsia="宋体" w:cs="宋体"/>
                <w:highlight w:val="none"/>
              </w:rPr>
              <w:t xml:space="preserve">安全文明施工、施工现场扬尘污染防治措施及环境保护方面的措施</w:t>
            </w:r>
            <w:r/>
          </w:p>
          <w:p>
            <w:pPr>
              <w:jc w:val="center"/>
              <w:keepLines w:val="0"/>
              <w:keepNext w:val="0"/>
              <w:pageBreakBefore w:val="0"/>
              <w:spacing w:line="288" w:lineRule="auto"/>
              <w:widowControl/>
              <w:rPr>
                <w:rFonts w:hint="eastAsia" w:ascii="宋体" w:hAnsi="宋体" w:eastAsia="宋体" w:cs="宋体"/>
                <w:sz w:val="22"/>
                <w:szCs w:val="22"/>
                <w:highlight w:val="none"/>
                <w:lang w:eastAsia="en-US"/>
              </w:rPr>
            </w:pPr>
            <w:r>
              <w:rPr>
                <w:rFonts w:hint="eastAsia" w:ascii="宋体" w:hAnsi="宋体" w:eastAsia="宋体" w:cs="宋体"/>
                <w:highlight w:val="none"/>
              </w:rPr>
              <w:t xml:space="preserve">（</w:t>
            </w:r>
            <w:r>
              <w:rPr>
                <w:rFonts w:hint="eastAsia" w:ascii="宋体" w:hAnsi="宋体" w:cs="宋体"/>
                <w:highlight w:val="none"/>
                <w:lang w:val="en-US" w:eastAsia="zh-CN"/>
              </w:rPr>
              <w:t xml:space="preserve">10</w:t>
            </w:r>
            <w:r>
              <w:rPr>
                <w:rFonts w:hint="eastAsia" w:ascii="宋体" w:hAnsi="宋体" w:eastAsia="宋体" w:cs="宋体"/>
                <w:highlight w:val="none"/>
              </w:rPr>
              <w:t xml:space="preserve">分）</w:t>
            </w:r>
            <w:bookmarkEnd w:id="522"/>
            <w:r/>
            <w:bookmarkEnd w:id="523"/>
            <w:r/>
            <w:bookmarkEnd w:id="524"/>
            <w:r/>
            <w:r/>
          </w:p>
        </w:tc>
        <w:tc>
          <w:tcPr>
            <w:gridSpan w:val="2"/>
            <w:tcW w:w="5751"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sz w:val="22"/>
                <w:szCs w:val="22"/>
                <w:highlight w:val="none"/>
                <w:lang w:eastAsia="en-US"/>
              </w:rPr>
            </w:pPr>
            <w:r>
              <w:rPr>
                <w:rFonts w:hint="eastAsia" w:ascii="宋体" w:hAnsi="宋体" w:eastAsia="宋体" w:cs="宋体"/>
                <w:highlight w:val="none"/>
              </w:rPr>
              <w:t xml:space="preserve">根据投标人提供的本工程的安全文明施工、施工现场扬尘污染防治措施及环境保护方面的措施进行评分：细致全面、合理、完全响应需求，技术可行性强得</w:t>
            </w:r>
            <w:r>
              <w:rPr>
                <w:rFonts w:hint="eastAsia" w:ascii="宋体" w:hAnsi="宋体" w:cs="宋体"/>
                <w:highlight w:val="none"/>
                <w:lang w:val="en-US" w:eastAsia="zh-CN"/>
              </w:rPr>
              <w:t xml:space="preserve">10</w:t>
            </w:r>
            <w:r>
              <w:rPr>
                <w:rFonts w:hint="eastAsia" w:ascii="宋体" w:hAnsi="宋体" w:eastAsia="宋体" w:cs="宋体"/>
                <w:highlight w:val="none"/>
              </w:rPr>
              <w:t xml:space="preserve">分；较为完整、基本响应需求的得</w:t>
            </w:r>
            <w:r>
              <w:rPr>
                <w:rFonts w:hint="eastAsia" w:ascii="宋体" w:hAnsi="宋体" w:cs="宋体"/>
                <w:highlight w:val="none"/>
                <w:lang w:val="en-US" w:eastAsia="zh-CN"/>
              </w:rPr>
              <w:t xml:space="preserve">7</w:t>
            </w:r>
            <w:r>
              <w:rPr>
                <w:rFonts w:hint="eastAsia" w:ascii="宋体" w:hAnsi="宋体" w:eastAsia="宋体" w:cs="宋体"/>
                <w:highlight w:val="none"/>
              </w:rPr>
              <w:t xml:space="preserve">分；不完全、响应度低、技术可行性低得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分；不提供不得分。</w:t>
            </w:r>
            <w:r/>
          </w:p>
        </w:tc>
      </w:tr>
      <w:tr>
        <w:trPr>
          <w:cantSplit/>
          <w:jc w:val="center"/>
          <w:trHeight w:val="1504"/>
        </w:trPr>
        <w:tc>
          <w:tcPr>
            <w:tcW w:w="431"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1272"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1941"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highlight w:val="none"/>
                <w:lang w:val="en-US" w:eastAsia="zh-CN"/>
              </w:rPr>
            </w:pPr>
            <w:r>
              <w:rPr>
                <w:rFonts w:hint="eastAsia" w:ascii="宋体" w:hAnsi="宋体" w:eastAsia="宋体" w:cs="宋体"/>
                <w:highlight w:val="none"/>
              </w:rPr>
              <w:t xml:space="preserve">保证项目实施的</w:t>
            </w:r>
            <w:r>
              <w:rPr>
                <w:rFonts w:hint="eastAsia" w:ascii="宋体" w:hAnsi="宋体" w:eastAsia="宋体" w:cs="宋体"/>
                <w:highlight w:val="none"/>
                <w:lang w:val="en-US" w:eastAsia="zh-CN"/>
              </w:rPr>
              <w:t xml:space="preserve">劳动力、机械设备和材料投入</w:t>
            </w:r>
            <w:r/>
          </w:p>
          <w:p>
            <w:pPr>
              <w:jc w:val="center"/>
              <w:keepLines w:val="0"/>
              <w:keepNext w:val="0"/>
              <w:pageBreakBefore w:val="0"/>
              <w:spacing w:line="288" w:lineRule="auto"/>
              <w:widowControl/>
              <w:rPr>
                <w:rFonts w:hint="eastAsia" w:ascii="宋体" w:hAnsi="宋体" w:eastAsia="宋体" w:cs="宋体"/>
                <w:sz w:val="22"/>
                <w:szCs w:val="22"/>
                <w:highlight w:val="none"/>
                <w:lang w:eastAsia="en-US"/>
              </w:rPr>
            </w:pPr>
            <w:r>
              <w:rPr>
                <w:rFonts w:hint="eastAsia" w:ascii="宋体" w:hAnsi="宋体" w:eastAsia="宋体" w:cs="宋体"/>
                <w:highlight w:val="none"/>
              </w:rPr>
              <w:t xml:space="preserve">（</w:t>
            </w:r>
            <w:r>
              <w:rPr>
                <w:rFonts w:hint="eastAsia" w:ascii="宋体" w:hAnsi="宋体" w:cs="宋体"/>
                <w:highlight w:val="none"/>
                <w:lang w:val="en-US" w:eastAsia="zh-CN"/>
              </w:rPr>
              <w:t xml:space="preserve">10</w:t>
            </w:r>
            <w:r>
              <w:rPr>
                <w:rFonts w:hint="eastAsia" w:ascii="宋体" w:hAnsi="宋体" w:eastAsia="宋体" w:cs="宋体"/>
                <w:highlight w:val="none"/>
              </w:rPr>
              <w:t xml:space="preserve">分）</w:t>
            </w:r>
            <w:r/>
          </w:p>
        </w:tc>
        <w:tc>
          <w:tcPr>
            <w:gridSpan w:val="2"/>
            <w:tcW w:w="5751"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sz w:val="22"/>
                <w:szCs w:val="22"/>
                <w:highlight w:val="none"/>
                <w:lang w:eastAsia="en-US"/>
              </w:rPr>
            </w:pPr>
            <w:r>
              <w:rPr>
                <w:rFonts w:hint="eastAsia" w:ascii="宋体" w:hAnsi="宋体" w:eastAsia="宋体" w:cs="宋体"/>
                <w:highlight w:val="none"/>
              </w:rPr>
              <w:t xml:space="preserve">根据投标人提供的本工程的保证项目实施的劳动力、机械设备和材料安排进行评分：细致全面、合理、完全响应需求，技术可行性强得</w:t>
            </w:r>
            <w:r>
              <w:rPr>
                <w:rFonts w:hint="eastAsia" w:ascii="宋体" w:hAnsi="宋体" w:cs="宋体"/>
                <w:highlight w:val="none"/>
                <w:lang w:val="en-US" w:eastAsia="zh-CN"/>
              </w:rPr>
              <w:t xml:space="preserve">10</w:t>
            </w:r>
            <w:r>
              <w:rPr>
                <w:rFonts w:hint="eastAsia" w:ascii="宋体" w:hAnsi="宋体" w:eastAsia="宋体" w:cs="宋体"/>
                <w:highlight w:val="none"/>
              </w:rPr>
              <w:t xml:space="preserve">分；较为完整、基本响应需求的得</w:t>
            </w:r>
            <w:r>
              <w:rPr>
                <w:rFonts w:hint="eastAsia" w:ascii="宋体" w:hAnsi="宋体" w:cs="宋体"/>
                <w:highlight w:val="none"/>
                <w:lang w:val="en-US" w:eastAsia="zh-CN"/>
              </w:rPr>
              <w:t xml:space="preserve">7</w:t>
            </w:r>
            <w:r>
              <w:rPr>
                <w:rFonts w:hint="eastAsia" w:ascii="宋体" w:hAnsi="宋体" w:eastAsia="宋体" w:cs="宋体"/>
                <w:highlight w:val="none"/>
              </w:rPr>
              <w:t xml:space="preserve">分；不完全、响应度低、技术可行性低得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分；不提供不得分。</w:t>
            </w:r>
            <w:r/>
          </w:p>
        </w:tc>
      </w:tr>
    </w:tbl>
    <w:p>
      <w:pPr>
        <w:ind w:left="0"/>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25" w:name="_Toc19863"/>
      <w:r>
        <w:rPr>
          <w:rFonts w:hint="eastAsia" w:ascii="宋体" w:hAnsi="宋体" w:eastAsia="宋体" w:cs="宋体"/>
          <w:b/>
          <w:color w:val="0d0d0d"/>
          <w:sz w:val="22"/>
          <w:szCs w:val="22"/>
          <w:highlight w:val="none"/>
        </w:rPr>
        <w:t xml:space="preserve">1.资格审查</w:t>
      </w:r>
      <w:bookmarkEnd w:id="525"/>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26" w:name="_Toc5940"/>
      <w:r>
        <w:rPr>
          <w:rFonts w:hint="eastAsia" w:ascii="宋体" w:hAnsi="宋体" w:eastAsia="宋体" w:cs="宋体"/>
          <w:b/>
          <w:color w:val="0d0d0d"/>
          <w:sz w:val="22"/>
          <w:szCs w:val="22"/>
          <w:highlight w:val="none"/>
        </w:rPr>
        <w:t xml:space="preserve">1.1资格审查</w:t>
      </w:r>
      <w:bookmarkEnd w:id="526"/>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1.1.1资格审查由竞争性磋商小组负责。</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1.1.2资格审查因素和标准：见竞争性磋商前附表</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27" w:name="_Toc24000"/>
      <w:r>
        <w:rPr>
          <w:rFonts w:hint="eastAsia" w:ascii="宋体" w:hAnsi="宋体" w:eastAsia="宋体" w:cs="宋体"/>
          <w:b/>
          <w:color w:val="0d0d0d"/>
          <w:sz w:val="22"/>
          <w:szCs w:val="22"/>
          <w:highlight w:val="none"/>
        </w:rPr>
        <w:t xml:space="preserve">2.磋商</w:t>
      </w:r>
      <w:bookmarkEnd w:id="527"/>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28" w:name="_Toc31007"/>
      <w:r>
        <w:rPr>
          <w:rFonts w:hint="eastAsia" w:ascii="宋体" w:hAnsi="宋体" w:eastAsia="宋体" w:cs="宋体"/>
          <w:b/>
          <w:color w:val="0d0d0d"/>
          <w:sz w:val="22"/>
          <w:szCs w:val="22"/>
          <w:highlight w:val="none"/>
        </w:rPr>
        <w:t xml:space="preserve">2.1确定磋商对象</w:t>
      </w:r>
      <w:bookmarkEnd w:id="528"/>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磋商小组邀请资格审查合格的供应商参加磋商。</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29" w:name="_Toc3691"/>
      <w:r>
        <w:rPr>
          <w:rFonts w:hint="eastAsia" w:ascii="宋体" w:hAnsi="宋体" w:eastAsia="宋体" w:cs="宋体"/>
          <w:b/>
          <w:color w:val="0d0d0d"/>
          <w:sz w:val="22"/>
          <w:szCs w:val="22"/>
          <w:highlight w:val="none"/>
        </w:rPr>
        <w:t xml:space="preserve">2.2磋商</w:t>
      </w:r>
      <w:bookmarkEnd w:id="529"/>
      <w:r/>
      <w:r/>
    </w:p>
    <w:p>
      <w:pPr>
        <w:ind w:firstLine="480"/>
        <w:keepLines w:val="0"/>
        <w:keepNext w:val="0"/>
        <w:pageBreakBefore w:val="0"/>
        <w:spacing w:line="360" w:lineRule="auto"/>
        <w:widowControl w:val="off"/>
        <w:rPr>
          <w:rFonts w:hint="eastAsia" w:ascii="宋体" w:hAnsi="宋体" w:eastAsia="宋体" w:cs="宋体"/>
          <w:b w:val="0"/>
          <w:bCs/>
          <w:color w:val="ff0000"/>
          <w:sz w:val="22"/>
          <w:szCs w:val="22"/>
          <w:highlight w:val="none"/>
        </w:rPr>
        <w:outlineLvl w:val="3"/>
      </w:pPr>
      <w:r>
        <w:rPr>
          <w:rFonts w:hint="eastAsia" w:ascii="宋体" w:hAnsi="宋体" w:eastAsia="宋体" w:cs="宋体"/>
          <w:color w:val="0d0d0d"/>
          <w:sz w:val="22"/>
          <w:szCs w:val="22"/>
          <w:highlight w:val="none"/>
        </w:rPr>
        <w:t xml:space="preserve">2.2.1磋商小组所有成员集中与单一供应商分别进行磋商，</w:t>
      </w:r>
      <w:r>
        <w:rPr>
          <w:rFonts w:hint="eastAsia" w:ascii="宋体" w:hAnsi="宋体" w:eastAsia="宋体" w:cs="宋体"/>
          <w:b w:val="0"/>
          <w:bCs/>
          <w:color w:val="auto"/>
          <w:sz w:val="22"/>
          <w:szCs w:val="22"/>
          <w:highlight w:val="none"/>
        </w:rPr>
        <w:t xml:space="preserve">供应商在项目评审全过程中应保持通讯畅通，并安排</w:t>
      </w:r>
      <w:r>
        <w:rPr>
          <w:rFonts w:hint="eastAsia" w:ascii="宋体" w:hAnsi="宋体" w:eastAsia="宋体" w:cs="宋体"/>
          <w:b w:val="0"/>
          <w:bCs/>
          <w:color w:val="auto"/>
          <w:sz w:val="22"/>
          <w:szCs w:val="22"/>
          <w:highlight w:val="none"/>
          <w:lang w:val="en-US" w:eastAsia="zh-CN"/>
        </w:rPr>
        <w:t xml:space="preserve">法定代表人或授权委托人</w:t>
      </w:r>
      <w:r>
        <w:rPr>
          <w:rFonts w:hint="eastAsia" w:ascii="宋体" w:hAnsi="宋体" w:eastAsia="宋体" w:cs="宋体"/>
          <w:b w:val="0"/>
          <w:bCs/>
          <w:color w:val="auto"/>
          <w:sz w:val="22"/>
          <w:szCs w:val="22"/>
          <w:highlight w:val="none"/>
        </w:rPr>
        <w:t xml:space="preserve">与采购人及磋商小组联系。</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2.2.2磋商小组与供应商就采购需求中的技术、服务要求以及合同草案条款进行磋商。</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2.2.3磋商结束后，磋商小组依据磋商的情况，形成经磋商确定的磋商文件。</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2.2.4对磋商文件作出的实质性变动是磋商文件的有效组成部分，磋商小组将以书面形式同时通知所有参加磋商的供应商。</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2.2.5在提交最终报价之前，供应商可以根据磋商情况退出磋商。</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30" w:name="_Toc15101"/>
      <w:r>
        <w:rPr>
          <w:rFonts w:hint="eastAsia" w:ascii="宋体" w:hAnsi="宋体" w:eastAsia="宋体" w:cs="宋体"/>
          <w:b/>
          <w:color w:val="0d0d0d"/>
          <w:sz w:val="22"/>
          <w:szCs w:val="22"/>
          <w:highlight w:val="none"/>
        </w:rPr>
        <w:t xml:space="preserve">3.</w:t>
      </w:r>
      <w:r>
        <w:rPr>
          <w:rFonts w:hint="eastAsia" w:ascii="宋体" w:hAnsi="宋体" w:eastAsia="宋体" w:cs="宋体"/>
          <w:sz w:val="22"/>
          <w:szCs w:val="22"/>
          <w:highlight w:val="none"/>
        </w:rPr>
        <w:t xml:space="preserve"> </w:t>
      </w:r>
      <w:r>
        <w:rPr>
          <w:rFonts w:hint="eastAsia" w:ascii="宋体" w:hAnsi="宋体" w:eastAsia="宋体" w:cs="宋体"/>
          <w:b/>
          <w:color w:val="0d0d0d"/>
          <w:sz w:val="22"/>
          <w:szCs w:val="22"/>
          <w:highlight w:val="none"/>
        </w:rPr>
        <w:t xml:space="preserve">再次提交响应文件</w:t>
      </w:r>
      <w:bookmarkEnd w:id="530"/>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31" w:name="_Toc18391"/>
      <w:r>
        <w:rPr>
          <w:rFonts w:hint="eastAsia" w:ascii="宋体" w:hAnsi="宋体" w:eastAsia="宋体" w:cs="宋体"/>
          <w:b/>
          <w:color w:val="0d0d0d"/>
          <w:sz w:val="22"/>
          <w:szCs w:val="22"/>
          <w:highlight w:val="none"/>
        </w:rPr>
        <w:t xml:space="preserve">3.1技术、服务要求和合同草案条款响应</w:t>
      </w:r>
      <w:bookmarkEnd w:id="531"/>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供应商按照磋商文件的变动情况和磋商小组的要求，对采购需求中的技术、服务要求以及合同草案条款作出响应。</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32" w:name="_Toc8647"/>
      <w:r>
        <w:rPr>
          <w:rFonts w:hint="eastAsia" w:ascii="宋体" w:hAnsi="宋体" w:eastAsia="宋体" w:cs="宋体"/>
          <w:b/>
          <w:color w:val="0d0d0d"/>
          <w:sz w:val="22"/>
          <w:szCs w:val="22"/>
          <w:highlight w:val="none"/>
        </w:rPr>
        <w:t xml:space="preserve">3.2最终报价</w:t>
      </w:r>
      <w:bookmarkEnd w:id="532"/>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供应商按照磋商小组的要求，在规定的时间内，通过“苏采云”系统提交最终报价。供应商最后一次报价或最终报价应在工程数量、要求、服务等方面不降低的情况下，不得高于前一次报价</w:t>
      </w:r>
      <w:r>
        <w:rPr>
          <w:rFonts w:hint="eastAsia" w:ascii="宋体" w:hAnsi="宋体" w:eastAsia="宋体" w:cs="宋体"/>
          <w:color w:val="0d0d0d"/>
          <w:sz w:val="22"/>
          <w:szCs w:val="22"/>
          <w:highlight w:val="none"/>
          <w:lang w:eastAsia="zh-CN"/>
        </w:rPr>
        <w:t xml:space="preserve">，</w:t>
      </w:r>
      <w:r>
        <w:rPr>
          <w:rFonts w:hint="eastAsia" w:ascii="宋体" w:hAnsi="宋体" w:eastAsia="宋体" w:cs="宋体"/>
          <w:color w:val="0d0d0d"/>
          <w:sz w:val="22"/>
          <w:szCs w:val="22"/>
          <w:highlight w:val="none"/>
        </w:rPr>
        <w:t xml:space="preserve">否则，磋商小组有权拒绝该磋商报价并不再给予报价补救机会。</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33" w:name="_Toc10731"/>
      <w:r>
        <w:rPr>
          <w:rFonts w:hint="eastAsia" w:ascii="宋体" w:hAnsi="宋体" w:eastAsia="宋体" w:cs="宋体"/>
          <w:b/>
          <w:color w:val="0d0d0d"/>
          <w:sz w:val="22"/>
          <w:szCs w:val="22"/>
          <w:highlight w:val="none"/>
        </w:rPr>
        <w:t xml:space="preserve">4.响应性评审</w:t>
      </w:r>
      <w:bookmarkEnd w:id="533"/>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4.1响应性评审由竞争性磋商小组负责。</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4.2响应性评审因素和标准：见竞争性磋商前附表。</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34" w:name="_Toc18776"/>
      <w:r>
        <w:rPr>
          <w:rFonts w:hint="eastAsia" w:ascii="宋体" w:hAnsi="宋体" w:eastAsia="宋体" w:cs="宋体"/>
          <w:b/>
          <w:color w:val="0d0d0d"/>
          <w:sz w:val="22"/>
          <w:szCs w:val="22"/>
          <w:highlight w:val="none"/>
        </w:rPr>
        <w:t xml:space="preserve">5.详细评审</w:t>
      </w:r>
      <w:bookmarkEnd w:id="534"/>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5.1详细评审由竞争性磋商小组负责。</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5.2详细评审因素和标准：见竞争性磋商前附表。供应商的最终得分为磋商小组所有评委评分的算术平均值，保留小数点后两位。</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35" w:name="_Toc5753"/>
      <w:r>
        <w:rPr>
          <w:rFonts w:hint="eastAsia" w:ascii="宋体" w:hAnsi="宋体" w:eastAsia="宋体" w:cs="宋体"/>
          <w:b/>
          <w:color w:val="0d0d0d"/>
          <w:sz w:val="22"/>
          <w:szCs w:val="22"/>
          <w:highlight w:val="none"/>
        </w:rPr>
        <w:t xml:space="preserve">6.推荐成交候选人</w:t>
      </w:r>
      <w:bookmarkEnd w:id="535"/>
      <w:r/>
      <w:r/>
    </w:p>
    <w:p>
      <w:pPr>
        <w:ind w:firstLine="480"/>
        <w:keepLines w:val="0"/>
        <w:keepNext w:val="0"/>
        <w:pageBreakBefore w:val="0"/>
        <w:spacing w:line="360" w:lineRule="auto"/>
        <w:widowControl w:val="off"/>
        <w:rPr>
          <w:rFonts w:hint="eastAsia" w:ascii="宋体" w:hAnsi="宋体" w:eastAsia="宋体" w:cs="宋体"/>
          <w:b/>
          <w:bCs/>
          <w:color w:val="ff0000"/>
          <w:sz w:val="22"/>
          <w:szCs w:val="22"/>
          <w:highlight w:val="none"/>
        </w:rPr>
      </w:pPr>
      <w:r>
        <w:rPr>
          <w:rFonts w:hint="eastAsia" w:ascii="宋体" w:hAnsi="宋体" w:eastAsia="宋体" w:cs="宋体"/>
          <w:color w:val="0d0d0d"/>
          <w:sz w:val="22"/>
          <w:szCs w:val="22"/>
          <w:highlight w:val="none"/>
        </w:rPr>
        <w:t xml:space="preserve">磋商小组采用综合评分法对供应商的响应文件和最终报价进行综合评分。磋商小组根据综合评分情况，按照评审得分由高到低顺序推荐3名及以上成交候选供应商，并编写评审报告。</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36" w:name="_Toc29708"/>
      <w:r>
        <w:rPr>
          <w:rFonts w:hint="eastAsia" w:ascii="宋体" w:hAnsi="宋体" w:eastAsia="宋体" w:cs="宋体"/>
          <w:b/>
          <w:color w:val="0d0d0d"/>
          <w:sz w:val="22"/>
          <w:szCs w:val="22"/>
          <w:highlight w:val="none"/>
        </w:rPr>
        <w:t xml:space="preserve">7.确定成交供应商</w:t>
      </w:r>
      <w:bookmarkEnd w:id="536"/>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采购人从磋商小组提出的成交候选人中根据符合采购需求且评审得分最高的原则确定成交供应商，并将结果通知所有参加磋商的未成交的供应商。</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37" w:name="_Toc30429"/>
      <w:r>
        <w:rPr>
          <w:rFonts w:hint="eastAsia" w:ascii="宋体" w:hAnsi="宋体" w:eastAsia="宋体" w:cs="宋体"/>
          <w:b/>
          <w:color w:val="0d0d0d"/>
          <w:sz w:val="22"/>
          <w:szCs w:val="22"/>
          <w:highlight w:val="none"/>
        </w:rPr>
        <w:t xml:space="preserve">8.澄清、说明或补正</w:t>
      </w:r>
      <w:bookmarkEnd w:id="537"/>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8.1磋商小组在评审过程中，可以要求供应商对响应文件中含义不明确、同类问题表述不一致或者有明显文字和计算错误的内容等作出必要的澄清、说明或者更正。</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8.2磋商小组要求供应商澄清、说明或者更正响应文件应当以书面形式作出。</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8.3供应商的澄清、说明或者更正应当由法定代表人或其授权代表签字或者加盖公章。由授权代表签字的，应当附法定代表人授权书。供应商的书面澄清材料作为响应文件的补充。</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8.4供应商的澄清、说明或者更正不得超出响应文件的范围或者改变响应文件的实质性内容。</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outlineLvl w:val="2"/>
      </w:pPr>
      <w:r/>
      <w:bookmarkStart w:id="538" w:name="_Toc7297"/>
      <w:r>
        <w:rPr>
          <w:rFonts w:hint="eastAsia" w:ascii="宋体" w:hAnsi="宋体" w:eastAsia="宋体" w:cs="宋体"/>
          <w:color w:val="0d0d0d"/>
          <w:sz w:val="22"/>
          <w:szCs w:val="22"/>
          <w:highlight w:val="none"/>
        </w:rPr>
        <w:t xml:space="preserve">8.5磋商小组不得接受供应商主动提出的澄清、说明或补正。</w:t>
      </w:r>
      <w:bookmarkEnd w:id="538"/>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lang w:val="en-US" w:eastAsia="zh-CN"/>
        </w:rPr>
        <w:outlineLvl w:val="2"/>
      </w:pPr>
      <w:r/>
      <w:bookmarkStart w:id="539" w:name="_Toc24383"/>
      <w:r>
        <w:rPr>
          <w:rFonts w:hint="eastAsia" w:ascii="宋体" w:hAnsi="宋体" w:eastAsia="宋体" w:cs="宋体"/>
          <w:b/>
          <w:bCs/>
          <w:color w:val="0d0d0d"/>
          <w:sz w:val="22"/>
          <w:szCs w:val="22"/>
          <w:highlight w:val="none"/>
          <w:lang w:val="en-US" w:eastAsia="zh-CN"/>
        </w:rPr>
        <w:t xml:space="preserve">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bookmarkEnd w:id="539"/>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40" w:name="_Toc561"/>
      <w:r>
        <w:rPr>
          <w:rFonts w:hint="eastAsia" w:ascii="宋体" w:hAnsi="宋体" w:eastAsia="宋体" w:cs="宋体"/>
          <w:b/>
          <w:color w:val="0d0d0d"/>
          <w:sz w:val="22"/>
          <w:szCs w:val="22"/>
          <w:highlight w:val="none"/>
        </w:rPr>
        <w:t xml:space="preserve">9.评审过程中特殊情况的处理规定</w:t>
      </w:r>
      <w:bookmarkEnd w:id="540"/>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41" w:name="_Toc1350"/>
      <w:r>
        <w:rPr>
          <w:rFonts w:hint="eastAsia" w:ascii="宋体" w:hAnsi="宋体" w:eastAsia="宋体" w:cs="宋体"/>
          <w:b/>
          <w:color w:val="0d0d0d"/>
          <w:sz w:val="22"/>
          <w:szCs w:val="22"/>
          <w:highlight w:val="none"/>
        </w:rPr>
        <w:t xml:space="preserve">9.1磋商小组成员的更换</w:t>
      </w:r>
      <w:bookmarkEnd w:id="541"/>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（1）评审过程中，因磋商小组成员缺席、回避或者健康等特殊原因导致磋商小组组成不符合规定的，采购人将依法补足后继续评审。被更换的磋商小组成员所作出的评审意见无效。 </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（2）无法及时补足磋商小组成员的，采购人将停止评审活动，封存所有资料，依法重新组建磋商小组进行评审。原磋商小组所作出的评审意见无效。</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42" w:name="_Toc28665"/>
      <w:r>
        <w:rPr>
          <w:rFonts w:hint="eastAsia" w:ascii="宋体" w:hAnsi="宋体" w:eastAsia="宋体" w:cs="宋体"/>
          <w:b/>
          <w:color w:val="0d0d0d"/>
          <w:sz w:val="22"/>
          <w:szCs w:val="22"/>
          <w:highlight w:val="none"/>
        </w:rPr>
        <w:t xml:space="preserve">9.2异常低价的处理</w:t>
      </w:r>
      <w:bookmarkEnd w:id="542"/>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磋商小组认为供应商的报价明显低于其他供应商的报价，有可能影响服务质量或者不能诚信履约的，应当要求其在评审现场</w:t>
      </w:r>
      <w:r>
        <w:rPr>
          <w:rFonts w:hint="eastAsia" w:ascii="宋体" w:hAnsi="宋体" w:eastAsia="宋体" w:cs="宋体"/>
          <w:color w:val="0d0d0d"/>
          <w:sz w:val="22"/>
          <w:szCs w:val="22"/>
          <w:highlight w:val="none"/>
          <w:lang w:val="en-US" w:eastAsia="zh-CN"/>
        </w:rPr>
        <w:t xml:space="preserve">规定</w:t>
      </w:r>
      <w:r>
        <w:rPr>
          <w:rFonts w:hint="eastAsia" w:ascii="宋体" w:hAnsi="宋体" w:eastAsia="宋体" w:cs="宋体"/>
          <w:color w:val="0d0d0d"/>
          <w:sz w:val="22"/>
          <w:szCs w:val="22"/>
          <w:highlight w:val="none"/>
        </w:rPr>
        <w:t xml:space="preserve">的时间内提供书面说明，必要时提交相关证明材料；供应商不能证明其报价合理性的，磋商小组应当将其作为无效报价处理。</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43" w:name="_Toc27900"/>
      <w:r>
        <w:rPr>
          <w:rFonts w:hint="eastAsia" w:ascii="宋体" w:hAnsi="宋体" w:eastAsia="宋体" w:cs="宋体"/>
          <w:b/>
          <w:color w:val="0d0d0d"/>
          <w:sz w:val="22"/>
          <w:szCs w:val="22"/>
          <w:highlight w:val="none"/>
        </w:rPr>
        <w:t xml:space="preserve">9.3争议解决</w:t>
      </w:r>
      <w:bookmarkEnd w:id="543"/>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磋商小组成员对需要共同认定的事项存在争议的，按照少数服从多数的原则作出结论。持不同意见的成员须在评审报告上签署不同意见及理由。</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44" w:name="_Toc13263"/>
      <w:r>
        <w:rPr>
          <w:rFonts w:hint="eastAsia" w:ascii="宋体" w:hAnsi="宋体" w:eastAsia="宋体" w:cs="宋体"/>
          <w:b/>
          <w:color w:val="0d0d0d"/>
          <w:sz w:val="22"/>
          <w:szCs w:val="22"/>
          <w:highlight w:val="none"/>
        </w:rPr>
        <w:t xml:space="preserve">9.4评审终止</w:t>
      </w:r>
      <w:bookmarkEnd w:id="544"/>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45" w:name="_Toc1584"/>
      <w:r>
        <w:rPr>
          <w:rFonts w:hint="eastAsia" w:ascii="宋体" w:hAnsi="宋体" w:eastAsia="宋体" w:cs="宋体"/>
          <w:b/>
          <w:color w:val="0d0d0d"/>
          <w:sz w:val="22"/>
          <w:szCs w:val="22"/>
          <w:highlight w:val="none"/>
        </w:rPr>
        <w:t xml:space="preserve">9.5得分相同</w:t>
      </w:r>
      <w:bookmarkEnd w:id="545"/>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评审得分相同的，最终报价低的优先；评审得分且最终报价相同的，技术指标得分高的优先；评审得分、最终报价和技术指标得分均相同的，采购人随机抽取方式确定。</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46" w:name="_Toc14644"/>
      <w:r>
        <w:rPr>
          <w:rFonts w:hint="eastAsia" w:ascii="宋体" w:hAnsi="宋体" w:eastAsia="宋体" w:cs="宋体"/>
          <w:b/>
          <w:color w:val="0d0d0d"/>
          <w:sz w:val="22"/>
          <w:szCs w:val="22"/>
          <w:highlight w:val="none"/>
        </w:rPr>
        <w:t xml:space="preserve">9.6评审报告签署</w:t>
      </w:r>
      <w:bookmarkEnd w:id="546"/>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47" w:name="_Toc1440"/>
      <w:r>
        <w:rPr>
          <w:rFonts w:hint="eastAsia" w:ascii="宋体" w:hAnsi="宋体" w:eastAsia="宋体" w:cs="宋体"/>
          <w:b/>
          <w:color w:val="0d0d0d"/>
          <w:sz w:val="22"/>
          <w:szCs w:val="22"/>
          <w:highlight w:val="none"/>
        </w:rPr>
        <w:t xml:space="preserve">10.判定无效响应的规定</w:t>
      </w:r>
      <w:bookmarkEnd w:id="547"/>
      <w:r/>
      <w:r/>
    </w:p>
    <w:p>
      <w:pPr>
        <w:keepLines w:val="0"/>
        <w:keepNext w:val="0"/>
        <w:pageBreakBefore w:val="0"/>
        <w:spacing w:line="360" w:lineRule="auto"/>
        <w:widowControl w:val="off"/>
        <w:rPr>
          <w:rFonts w:hint="eastAsia" w:ascii="宋体" w:hAnsi="宋体" w:eastAsia="宋体" w:cs="宋体"/>
          <w:b/>
          <w:color w:val="0d0d0d"/>
          <w:sz w:val="22"/>
          <w:szCs w:val="22"/>
          <w:highlight w:val="none"/>
        </w:rPr>
      </w:pPr>
      <w:r>
        <w:rPr>
          <w:rFonts w:hint="eastAsia" w:ascii="宋体" w:hAnsi="宋体" w:eastAsia="宋体" w:cs="宋体"/>
          <w:b/>
          <w:color w:val="0d0d0d"/>
          <w:sz w:val="22"/>
          <w:szCs w:val="22"/>
          <w:highlight w:val="none"/>
        </w:rPr>
        <w:t xml:space="preserve">10.1响应文件开启过程中，有下列情形之一的，作无效响应处理。</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（1）响应文件无法解密；</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（2）响应文件未在规定的时间内解密成功。</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pPr>
      <w:r>
        <w:rPr>
          <w:rFonts w:hint="eastAsia" w:ascii="宋体" w:hAnsi="宋体" w:eastAsia="宋体" w:cs="宋体"/>
          <w:b/>
          <w:color w:val="0d0d0d"/>
          <w:sz w:val="22"/>
          <w:szCs w:val="22"/>
          <w:highlight w:val="none"/>
        </w:rPr>
        <w:t xml:space="preserve">10.2资格审查结果为不合格的，作无效响应处理。</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pPr>
      <w:r>
        <w:rPr>
          <w:rFonts w:hint="eastAsia" w:ascii="宋体" w:hAnsi="宋体" w:eastAsia="宋体" w:cs="宋体"/>
          <w:b/>
          <w:color w:val="0d0d0d"/>
          <w:sz w:val="22"/>
          <w:szCs w:val="22"/>
          <w:highlight w:val="none"/>
        </w:rPr>
        <w:t xml:space="preserve">10.3评审过程中，有下列情形之一的，作无效响应处理。</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（1）未按照磋商小组要求提供书面说明及相关证明材料证明其报价合理性的；</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outlineLvl w:val="2"/>
      </w:pPr>
      <w:r/>
      <w:bookmarkStart w:id="548" w:name="_Toc1060"/>
      <w:r>
        <w:rPr>
          <w:rFonts w:hint="eastAsia" w:ascii="宋体" w:hAnsi="宋体" w:eastAsia="宋体" w:cs="宋体"/>
          <w:color w:val="0d0d0d"/>
          <w:sz w:val="22"/>
          <w:szCs w:val="22"/>
          <w:highlight w:val="none"/>
        </w:rPr>
        <w:t xml:space="preserve">（2）响应文件含有采购人不能接受的附加条件的。</w:t>
      </w:r>
      <w:bookmarkEnd w:id="548"/>
      <w:r/>
      <w:r/>
    </w:p>
    <w:p>
      <w:pPr>
        <w:keepLines w:val="0"/>
        <w:keepNext w:val="0"/>
        <w:pageBreakBefore w:val="0"/>
        <w:spacing w:line="360" w:lineRule="auto"/>
        <w:widowControl w:val="off"/>
        <w:rPr>
          <w:rFonts w:hint="eastAsia" w:ascii="宋体" w:hAnsi="宋体" w:eastAsia="宋体" w:cs="宋体"/>
          <w:b/>
          <w:color w:val="0d0d0d"/>
          <w:sz w:val="22"/>
          <w:szCs w:val="22"/>
          <w:highlight w:val="none"/>
        </w:rPr>
      </w:pPr>
      <w:r>
        <w:rPr>
          <w:rFonts w:hint="eastAsia" w:ascii="宋体" w:hAnsi="宋体" w:eastAsia="宋体" w:cs="宋体"/>
          <w:b/>
          <w:color w:val="0d0d0d"/>
          <w:sz w:val="22"/>
          <w:szCs w:val="22"/>
          <w:highlight w:val="none"/>
        </w:rPr>
        <w:t xml:space="preserve">10.4磋商环节及提交最终报价后如出现以下情况的，供应商的响应文件无效：</w:t>
      </w:r>
      <w:r/>
    </w:p>
    <w:p>
      <w:pPr>
        <w:ind w:firstLine="480"/>
        <w:keepLines w:val="0"/>
        <w:keepNext w:val="0"/>
        <w:pageBreakBefore w:val="0"/>
        <w:spacing w:line="360" w:lineRule="auto"/>
        <w:widowControl w:val="off"/>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（1）未按照磋商小组规定的时间、逾期提交最终报价的；</w:t>
      </w:r>
      <w:r/>
    </w:p>
    <w:p>
      <w:pPr>
        <w:ind w:firstLine="480"/>
        <w:keepLines w:val="0"/>
        <w:keepNext w:val="0"/>
        <w:pageBreakBefore w:val="0"/>
        <w:spacing w:line="360" w:lineRule="auto"/>
        <w:widowControl w:val="off"/>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（2）如供应商的最终报价超过竞争性磋商文件中规定的项目/采购包预算金额或者项目/采购包最高限价的；</w:t>
      </w:r>
      <w:r/>
    </w:p>
    <w:p>
      <w:pPr>
        <w:ind w:firstLine="480"/>
        <w:keepLines w:val="0"/>
        <w:keepNext w:val="0"/>
        <w:pageBreakBefore w:val="0"/>
        <w:spacing w:line="360" w:lineRule="auto"/>
        <w:widowControl w:val="off"/>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（3）供应商未按照磋商文件的变动情况和磋商小组的要求，对采购需求中的技术、服务要求以及合同草案条款作出响应。</w:t>
      </w:r>
      <w:r/>
    </w:p>
    <w:p>
      <w:pPr>
        <w:jc w:val="left"/>
        <w:keepLines w:val="0"/>
        <w:keepNext w:val="0"/>
        <w:pageBreakBefore w:val="0"/>
        <w:spacing w:line="360" w:lineRule="auto"/>
        <w:widowControl w:val="off"/>
        <w:rPr>
          <w:rFonts w:hint="eastAsia" w:ascii="宋体" w:hAnsi="宋体" w:eastAsia="宋体" w:cs="宋体"/>
          <w:b/>
          <w:color w:val="0d0d0d"/>
          <w:sz w:val="21"/>
          <w:szCs w:val="21"/>
          <w:highlight w:val="none"/>
        </w:rPr>
      </w:pPr>
      <w:r>
        <w:rPr>
          <w:rFonts w:hint="eastAsia" w:ascii="宋体" w:hAnsi="宋体" w:eastAsia="宋体" w:cs="宋体"/>
          <w:b/>
          <w:color w:val="0d0d0d"/>
          <w:sz w:val="22"/>
          <w:szCs w:val="22"/>
          <w:highlight w:val="none"/>
        </w:rPr>
        <w:t xml:space="preserve">10.5法律、法规规定的其他无效响应情形。</w:t>
      </w:r>
      <w:r/>
    </w:p>
    <w:p>
      <w:pPr>
        <w:pStyle w:val="1145"/>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sz w:val="32"/>
          <w:szCs w:val="32"/>
          <w:highlight w:val="none"/>
        </w:rPr>
        <w:sectPr>
          <w:footerReference w:type="default" r:id="rId16"/>
          <w:footnotePr/>
          <w:endnotePr/>
          <w:type w:val="nextPage"/>
          <w:pgSz w:w="11906" w:h="16838" w:orient="portrait"/>
          <w:pgMar w:top="1440" w:right="1474" w:bottom="1440" w:left="1474" w:header="851" w:footer="992" w:gutter="0"/>
          <w:cols w:num="1" w:sep="0" w:space="1701" w:equalWidth="1"/>
          <w:docGrid w:linePitch="360"/>
        </w:sectPr>
      </w:pPr>
      <w:r/>
      <w:bookmarkStart w:id="549" w:name="_Toc468783649"/>
      <w:r/>
      <w:r/>
    </w:p>
    <w:p>
      <w:pPr>
        <w:pStyle w:val="1046"/>
        <w:rPr>
          <w:rFonts w:hint="eastAsia" w:ascii="宋体" w:hAnsi="宋体" w:eastAsia="宋体" w:cs="宋体"/>
          <w:b/>
          <w:bCs/>
          <w:sz w:val="32"/>
          <w:szCs w:val="32"/>
          <w:highlight w:val="none"/>
        </w:rPr>
      </w:pPr>
      <w:r/>
      <w:bookmarkStart w:id="550" w:name="_Toc24747"/>
      <w:r/>
      <w:bookmarkStart w:id="551" w:name="_Toc3934"/>
      <w:r/>
      <w:bookmarkStart w:id="552" w:name="_Toc7552"/>
      <w:r/>
      <w:bookmarkStart w:id="553" w:name="_Toc29020"/>
      <w:r/>
      <w:bookmarkStart w:id="554" w:name="_Toc7658"/>
      <w:r>
        <w:rPr>
          <w:rFonts w:hint="eastAsia" w:ascii="宋体" w:hAnsi="宋体" w:eastAsia="宋体" w:cs="宋体"/>
          <w:b/>
          <w:bCs/>
          <w:sz w:val="32"/>
          <w:szCs w:val="32"/>
          <w:highlight w:val="none"/>
        </w:rPr>
        <w:t xml:space="preserve">第四章</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49"/>
      <w:r/>
      <w:bookmarkStart w:id="555" w:name="_Toc282446330"/>
      <w:r/>
      <w:bookmarkStart w:id="556" w:name="_Toc120614281"/>
      <w:r/>
      <w:bookmarkStart w:id="557" w:name="_Toc288030358"/>
      <w:r/>
      <w:bookmarkStart w:id="558" w:name="_Toc26554093"/>
      <w:r/>
      <w:bookmarkStart w:id="559" w:name="_Toc49090575"/>
      <w:r/>
      <w:bookmarkStart w:id="560" w:name="_Toc383587528"/>
      <w:r/>
      <w:bookmarkStart w:id="561" w:name="_Toc383698721"/>
      <w:r/>
      <w:bookmarkStart w:id="562" w:name="_Toc426469931"/>
      <w:r/>
      <w:bookmarkStart w:id="563" w:name="_Toc468783656"/>
      <w:r/>
      <w:bookmarkStart w:id="564" w:name="_Toc382812506"/>
      <w:r/>
      <w:bookmarkStart w:id="565" w:name="_Toc390099110"/>
      <w:r/>
      <w:bookmarkStart w:id="566" w:name="_Toc390246997"/>
      <w:r/>
      <w:bookmarkStart w:id="567" w:name="_Toc383623748"/>
      <w:r/>
      <w:bookmarkStart w:id="568" w:name="_Toc382813956"/>
      <w:r/>
      <w:bookmarkStart w:id="569" w:name="_Toc390098914"/>
      <w:r/>
      <w:bookmarkStart w:id="570" w:name="_Toc383679821"/>
      <w:r/>
      <w:bookmarkStart w:id="571" w:name="_Toc382814037"/>
      <w:r/>
      <w:bookmarkStart w:id="572" w:name="_Toc383626068"/>
      <w:r/>
      <w:bookmarkStart w:id="573" w:name="_Toc383624020"/>
      <w:r/>
      <w:bookmarkStart w:id="574" w:name="_Toc479757211"/>
      <w:r/>
      <w:bookmarkStart w:id="575" w:name="_Toc462564139"/>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技术标准和要求</w:t>
      </w:r>
      <w:bookmarkEnd w:id="550"/>
      <w:r/>
      <w:bookmarkEnd w:id="551"/>
      <w:r/>
      <w:bookmarkEnd w:id="552"/>
      <w:r/>
      <w:bookmarkEnd w:id="553"/>
      <w:r/>
      <w:bookmarkEnd w:id="554"/>
      <w:r/>
      <w:r/>
    </w:p>
    <w:p>
      <w:pPr>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w:t>
      </w:r>
      <w:r>
        <w:rPr>
          <w:rFonts w:hint="eastAsia" w:ascii="宋体" w:hAnsi="宋体" w:eastAsia="宋体" w:cs="宋体"/>
          <w:b/>
          <w:sz w:val="22"/>
          <w:szCs w:val="22"/>
          <w:highlight w:val="none"/>
        </w:rPr>
        <w:t xml:space="preserve">工程概况</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1.1建设地点：泰兴市</w:t>
      </w:r>
      <w:r>
        <w:rPr>
          <w:rFonts w:hint="eastAsia" w:ascii="宋体" w:hAnsi="宋体" w:cs="宋体"/>
          <w:bCs/>
          <w:sz w:val="22"/>
          <w:szCs w:val="22"/>
          <w:highlight w:val="none"/>
          <w:lang w:eastAsia="zh-CN"/>
        </w:rPr>
        <w:t xml:space="preserve">宣堡镇</w:t>
      </w:r>
      <w:r>
        <w:rPr>
          <w:rFonts w:hint="eastAsia" w:ascii="宋体" w:hAnsi="宋体" w:eastAsia="宋体" w:cs="宋体"/>
          <w:bCs/>
          <w:sz w:val="22"/>
          <w:szCs w:val="22"/>
          <w:highlight w:val="none"/>
        </w:rPr>
        <w:t xml:space="preserve">。</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1.2现场条件及周边环境情况：</w:t>
      </w:r>
      <w:r>
        <w:rPr>
          <w:rFonts w:hint="eastAsia" w:ascii="宋体" w:hAnsi="宋体" w:eastAsia="宋体" w:cs="宋体"/>
          <w:bCs/>
          <w:sz w:val="22"/>
          <w:szCs w:val="22"/>
          <w:highlight w:val="none"/>
          <w:lang w:val="en-US" w:eastAsia="zh-CN"/>
        </w:rPr>
        <w:t xml:space="preserve">供应商</w:t>
      </w:r>
      <w:r>
        <w:rPr>
          <w:rFonts w:hint="eastAsia" w:ascii="宋体" w:hAnsi="宋体" w:eastAsia="宋体" w:cs="宋体"/>
          <w:bCs/>
          <w:sz w:val="22"/>
          <w:szCs w:val="22"/>
          <w:highlight w:val="none"/>
        </w:rPr>
        <w:t xml:space="preserve">自行踏勘。</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Cs/>
          <w:color w:val="auto"/>
          <w:sz w:val="22"/>
          <w:szCs w:val="22"/>
          <w:highlight w:val="none"/>
          <w:lang w:val="en-US" w:eastAsia="zh-CN"/>
        </w:rPr>
      </w:pPr>
      <w:r>
        <w:rPr>
          <w:rFonts w:hint="eastAsia" w:ascii="宋体" w:hAnsi="宋体" w:eastAsia="宋体" w:cs="宋体"/>
          <w:bCs/>
          <w:sz w:val="22"/>
          <w:szCs w:val="22"/>
          <w:highlight w:val="none"/>
          <w:lang w:val="en-US" w:eastAsia="zh-CN"/>
        </w:rPr>
        <w:t xml:space="preserve">1.3建设内容：</w:t>
      </w:r>
      <w:r>
        <w:rPr>
          <w:rFonts w:hint="eastAsia" w:ascii="宋体" w:hAnsi="宋体" w:eastAsia="宋体" w:cs="宋体"/>
          <w:color w:val="auto"/>
          <w:sz w:val="22"/>
          <w:szCs w:val="22"/>
          <w:highlight w:val="none"/>
          <w:lang w:val="en-US" w:eastAsia="zh-CN"/>
        </w:rPr>
        <w:t xml:space="preserve">清单中注明的</w:t>
      </w:r>
      <w:r>
        <w:rPr>
          <w:rFonts w:hint="eastAsia" w:ascii="宋体" w:hAnsi="宋体" w:cs="宋体"/>
          <w:color w:val="auto"/>
          <w:sz w:val="22"/>
          <w:szCs w:val="22"/>
          <w:highlight w:val="none"/>
          <w:lang w:val="en-US" w:eastAsia="zh-CN"/>
        </w:rPr>
        <w:t xml:space="preserve">泰兴市宣堡镇光明路维修改造工程</w:t>
      </w:r>
      <w:r>
        <w:rPr>
          <w:rFonts w:hint="eastAsia" w:ascii="宋体" w:hAnsi="宋体" w:eastAsia="宋体" w:cs="宋体"/>
          <w:color w:val="auto"/>
          <w:sz w:val="22"/>
          <w:szCs w:val="22"/>
          <w:highlight w:val="none"/>
          <w:lang w:val="en-US" w:eastAsia="zh-CN"/>
        </w:rPr>
        <w:t xml:space="preserve">施工，本工程包括</w:t>
      </w:r>
      <w:r>
        <w:rPr>
          <w:rFonts w:hint="eastAsia" w:ascii="宋体" w:hAnsi="宋体" w:cs="宋体"/>
          <w:color w:val="auto"/>
          <w:sz w:val="22"/>
          <w:szCs w:val="22"/>
          <w:highlight w:val="none"/>
          <w:lang w:val="en-US" w:eastAsia="zh-CN"/>
        </w:rPr>
        <w:t xml:space="preserve">拆除工程、道路工程及雨污水工程</w:t>
      </w:r>
      <w:r>
        <w:rPr>
          <w:rFonts w:hint="eastAsia" w:ascii="宋体" w:hAnsi="宋体" w:eastAsia="宋体" w:cs="宋体"/>
          <w:color w:val="auto"/>
          <w:sz w:val="22"/>
          <w:szCs w:val="22"/>
          <w:highlight w:val="none"/>
          <w:lang w:val="en-US" w:eastAsia="zh-CN"/>
        </w:rPr>
        <w:t xml:space="preserve">等</w:t>
      </w:r>
      <w:r>
        <w:rPr>
          <w:rFonts w:hint="eastAsia" w:ascii="宋体" w:hAnsi="宋体" w:cs="宋体"/>
          <w:color w:val="auto"/>
          <w:sz w:val="22"/>
          <w:szCs w:val="22"/>
          <w:highlight w:val="none"/>
          <w:lang w:val="en-US" w:eastAsia="zh-CN"/>
        </w:rPr>
        <w:t xml:space="preserve">内容施工</w:t>
      </w: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具体</w:t>
      </w:r>
      <w:r>
        <w:rPr>
          <w:rFonts w:hint="eastAsia" w:ascii="宋体" w:hAnsi="宋体" w:eastAsia="宋体" w:cs="宋体"/>
          <w:color w:val="auto"/>
          <w:sz w:val="22"/>
          <w:szCs w:val="22"/>
          <w:highlight w:val="none"/>
          <w:lang w:val="en-US" w:eastAsia="zh-CN"/>
        </w:rPr>
        <w:t xml:space="preserve">详见工程量清单。</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2.工程量清单说明（具体内容详见招标控制价清单及编制说明）</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rPr>
        <w:t xml:space="preserve">2.1本工程量清单应与采购文件、通用合同条款、专用合同条款等章节内容及图纸</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lang w:val="en-US" w:eastAsia="zh-CN"/>
        </w:rPr>
        <w:t xml:space="preserve">如有</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一起阅读和理解</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lang w:val="en-US" w:eastAsia="zh-CN"/>
        </w:rPr>
        <w:t xml:space="preserve">相关资料请各供应商从江苏省政府采购网自行下载。</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2</w:t>
      </w:r>
      <w:r>
        <w:rPr>
          <w:rFonts w:hint="eastAsia" w:ascii="宋体" w:hAnsi="宋体" w:eastAsia="宋体" w:cs="宋体"/>
          <w:bCs/>
          <w:sz w:val="22"/>
          <w:szCs w:val="22"/>
          <w:highlight w:val="none"/>
        </w:rPr>
        <w:t xml:space="preserve">本工程量清单仅是投标报价的共同基础，竣工结算的工程量按合同约定确定。合同价格的确定以及价款支付应遵循合同条款（包括通用合同条款和专用合同条款）以及采购文件的有关约定。</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3.投标报价说明</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Cs/>
          <w:color w:val="ff0000"/>
          <w:sz w:val="22"/>
          <w:szCs w:val="22"/>
          <w:highlight w:val="none"/>
          <w:lang w:eastAsia="zh-CN"/>
        </w:rPr>
      </w:pPr>
      <w:r>
        <w:rPr>
          <w:rFonts w:hint="eastAsia" w:ascii="宋体" w:hAnsi="宋体" w:eastAsia="宋体" w:cs="宋体"/>
          <w:bCs/>
          <w:color w:val="ff0000"/>
          <w:sz w:val="22"/>
          <w:szCs w:val="22"/>
          <w:highlight w:val="none"/>
          <w:lang w:val="en-US" w:eastAsia="zh-CN"/>
        </w:rPr>
        <w:t xml:space="preserve">  </w:t>
      </w:r>
      <w:r>
        <w:rPr>
          <w:rFonts w:hint="eastAsia" w:ascii="宋体" w:hAnsi="宋体" w:eastAsia="宋体" w:cs="宋体"/>
          <w:bCs/>
          <w:color w:val="ff0000"/>
          <w:sz w:val="22"/>
          <w:szCs w:val="22"/>
          <w:highlight w:val="none"/>
          <w:lang w:eastAsia="zh-CN"/>
        </w:rPr>
        <w:t xml:space="preserve">供应商无需编制工程量清单报价文件，按照招标控制价总价下浮报价，成交价与招标控制价的比值即为下浮率，用于结算。本工程招标控制价中的暂估价、暂列金额均为不可竞争费用，不参与下浮。</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4.其他说明</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4.1.本工程质量要求：合格。</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4.2.</w:t>
      </w:r>
      <w:r>
        <w:rPr>
          <w:rFonts w:hint="eastAsia" w:ascii="宋体" w:hAnsi="宋体" w:eastAsia="宋体" w:cs="宋体"/>
          <w:b/>
          <w:bCs/>
          <w:color w:val="000000"/>
          <w:sz w:val="22"/>
          <w:szCs w:val="22"/>
          <w:highlight w:val="none"/>
          <w:lang w:val="en-US" w:eastAsia="zh-CN"/>
        </w:rPr>
        <w:t xml:space="preserve">项目实施中</w:t>
      </w:r>
      <w:r>
        <w:rPr>
          <w:rFonts w:hint="eastAsia" w:ascii="宋体" w:hAnsi="宋体" w:eastAsia="宋体" w:cs="宋体"/>
          <w:b/>
          <w:bCs/>
          <w:color w:val="000000"/>
          <w:sz w:val="22"/>
          <w:szCs w:val="22"/>
          <w:highlight w:val="none"/>
        </w:rPr>
        <w:t xml:space="preserve">，出现与</w:t>
      </w:r>
      <w:r>
        <w:rPr>
          <w:rFonts w:hint="eastAsia" w:ascii="宋体" w:hAnsi="宋体" w:eastAsia="宋体" w:cs="宋体"/>
          <w:b/>
          <w:bCs/>
          <w:color w:val="000000"/>
          <w:sz w:val="22"/>
          <w:szCs w:val="22"/>
          <w:highlight w:val="none"/>
          <w:lang w:val="en-US" w:eastAsia="zh-CN"/>
        </w:rPr>
        <w:t xml:space="preserve">地方行政主管部门</w:t>
      </w:r>
      <w:r>
        <w:rPr>
          <w:rFonts w:hint="eastAsia" w:ascii="宋体" w:hAnsi="宋体" w:eastAsia="宋体" w:cs="宋体"/>
          <w:b/>
          <w:bCs/>
          <w:color w:val="000000"/>
          <w:sz w:val="22"/>
          <w:szCs w:val="22"/>
          <w:highlight w:val="none"/>
        </w:rPr>
        <w:t xml:space="preserve">、</w:t>
      </w:r>
      <w:r>
        <w:rPr>
          <w:rFonts w:hint="eastAsia" w:ascii="宋体" w:hAnsi="宋体" w:eastAsia="宋体" w:cs="宋体"/>
          <w:b/>
          <w:bCs/>
          <w:color w:val="000000"/>
          <w:sz w:val="22"/>
          <w:szCs w:val="22"/>
          <w:highlight w:val="none"/>
          <w:lang w:val="en-US" w:eastAsia="zh-CN"/>
        </w:rPr>
        <w:t xml:space="preserve">地方</w:t>
      </w:r>
      <w:r>
        <w:rPr>
          <w:rFonts w:hint="eastAsia" w:ascii="宋体" w:hAnsi="宋体" w:eastAsia="宋体" w:cs="宋体"/>
          <w:b/>
          <w:bCs/>
          <w:color w:val="000000"/>
          <w:sz w:val="22"/>
          <w:szCs w:val="22"/>
          <w:highlight w:val="none"/>
        </w:rPr>
        <w:t xml:space="preserve">管理</w:t>
      </w:r>
      <w:r>
        <w:rPr>
          <w:rFonts w:hint="eastAsia" w:ascii="宋体" w:hAnsi="宋体" w:eastAsia="宋体" w:cs="宋体"/>
          <w:b/>
          <w:bCs/>
          <w:color w:val="000000"/>
          <w:sz w:val="22"/>
          <w:szCs w:val="22"/>
          <w:highlight w:val="none"/>
          <w:lang w:val="en-US" w:eastAsia="zh-CN"/>
        </w:rPr>
        <w:t xml:space="preserve">部门</w:t>
      </w:r>
      <w:r>
        <w:rPr>
          <w:rFonts w:hint="eastAsia" w:ascii="宋体" w:hAnsi="宋体" w:eastAsia="宋体" w:cs="宋体"/>
          <w:b/>
          <w:bCs/>
          <w:color w:val="000000"/>
          <w:sz w:val="22"/>
          <w:szCs w:val="22"/>
          <w:highlight w:val="none"/>
          <w:lang w:eastAsia="zh-CN"/>
        </w:rPr>
        <w:t xml:space="preserve">、</w:t>
      </w:r>
      <w:r>
        <w:rPr>
          <w:rFonts w:hint="eastAsia" w:ascii="宋体" w:hAnsi="宋体" w:eastAsia="宋体" w:cs="宋体"/>
          <w:b/>
          <w:bCs/>
          <w:color w:val="000000"/>
          <w:sz w:val="22"/>
          <w:szCs w:val="22"/>
          <w:highlight w:val="none"/>
          <w:lang w:val="en-US" w:eastAsia="zh-CN"/>
        </w:rPr>
        <w:t xml:space="preserve">居民</w:t>
      </w:r>
      <w:r>
        <w:rPr>
          <w:rFonts w:hint="eastAsia" w:ascii="宋体" w:hAnsi="宋体" w:eastAsia="宋体" w:cs="宋体"/>
          <w:b/>
          <w:bCs/>
          <w:color w:val="000000"/>
          <w:sz w:val="22"/>
          <w:szCs w:val="22"/>
          <w:highlight w:val="none"/>
        </w:rPr>
        <w:t xml:space="preserve">有关的矛盾由成交人自行解决，产生的任何费用由</w:t>
      </w:r>
      <w:r>
        <w:rPr>
          <w:rFonts w:hint="eastAsia" w:ascii="宋体" w:hAnsi="宋体" w:eastAsia="宋体" w:cs="宋体"/>
          <w:b/>
          <w:bCs/>
          <w:color w:val="000000"/>
          <w:sz w:val="22"/>
          <w:szCs w:val="22"/>
          <w:highlight w:val="none"/>
          <w:lang w:eastAsia="zh-CN"/>
        </w:rPr>
        <w:t xml:space="preserve">供应商</w:t>
      </w:r>
      <w:r>
        <w:rPr>
          <w:rFonts w:hint="eastAsia" w:ascii="宋体" w:hAnsi="宋体" w:eastAsia="宋体" w:cs="宋体"/>
          <w:b/>
          <w:bCs/>
          <w:color w:val="000000"/>
          <w:sz w:val="22"/>
          <w:szCs w:val="22"/>
          <w:highlight w:val="none"/>
        </w:rPr>
        <w:t xml:space="preserve">在投标报价时自行考虑；</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4.3.施工过程中不得污染周边环境（绿化、道路等），不得对周边环境造成影响，</w:t>
      </w:r>
      <w:r>
        <w:rPr>
          <w:rFonts w:hint="eastAsia" w:ascii="宋体" w:hAnsi="宋体" w:eastAsia="宋体" w:cs="宋体"/>
          <w:b/>
          <w:bCs/>
          <w:color w:val="000000"/>
          <w:sz w:val="22"/>
          <w:szCs w:val="22"/>
          <w:highlight w:val="none"/>
          <w:lang w:val="en-US" w:eastAsia="zh-CN"/>
        </w:rPr>
        <w:t xml:space="preserve">不得因施工损坏现状，</w:t>
      </w:r>
      <w:r>
        <w:rPr>
          <w:rFonts w:hint="eastAsia" w:ascii="宋体" w:hAnsi="宋体" w:eastAsia="宋体" w:cs="宋体"/>
          <w:b/>
          <w:bCs/>
          <w:color w:val="000000"/>
          <w:sz w:val="22"/>
          <w:szCs w:val="22"/>
          <w:highlight w:val="none"/>
        </w:rPr>
        <w:t xml:space="preserve">否则一切责任由承包人承担，由此造成的一切损失由成交人承担。</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4.4.安全生产</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4.4.1施工现场内及周边须设置</w:t>
      </w:r>
      <w:r>
        <w:rPr>
          <w:rFonts w:hint="eastAsia" w:ascii="宋体" w:hAnsi="宋体" w:eastAsia="宋体" w:cs="宋体"/>
          <w:sz w:val="22"/>
          <w:szCs w:val="22"/>
          <w:highlight w:val="none"/>
          <w:lang w:val="en-US" w:eastAsia="zh-CN"/>
        </w:rPr>
        <w:t xml:space="preserve">临时施工围挡、</w:t>
      </w:r>
      <w:r>
        <w:rPr>
          <w:rFonts w:hint="eastAsia" w:ascii="宋体" w:hAnsi="宋体" w:eastAsia="宋体" w:cs="宋体"/>
          <w:sz w:val="22"/>
          <w:szCs w:val="22"/>
          <w:highlight w:val="none"/>
        </w:rPr>
        <w:t xml:space="preserve">防护设施、临时警示标牌标志、警示灯、夜间照明、夜间交通指示灯（夜间必须正常显示）以及施工现场内、外的临时交通安全设施等</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相关</w:t>
      </w:r>
      <w:r>
        <w:rPr>
          <w:rFonts w:hint="eastAsia" w:ascii="宋体" w:hAnsi="宋体" w:eastAsia="宋体" w:cs="宋体"/>
          <w:sz w:val="22"/>
          <w:szCs w:val="22"/>
          <w:highlight w:val="none"/>
        </w:rPr>
        <w:t xml:space="preserve">费用已包含在投标报价中。</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4.4.2交通安全设施的设置方案须符合交警、城管部门、发包人的要求，施工车辆进出场地必须减速慢行，出入口必须有专人看护，确保出入口的交通安全。</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4.5.承包人须做好现场环境保护，做好防尘、降噪等措施，费用已包含在投标报价中</w:t>
      </w:r>
      <w:r>
        <w:rPr>
          <w:rFonts w:hint="eastAsia" w:ascii="宋体" w:hAnsi="宋体" w:eastAsia="宋体" w:cs="宋体"/>
          <w:sz w:val="22"/>
          <w:szCs w:val="22"/>
          <w:highlight w:val="none"/>
          <w:lang w:eastAsia="zh-CN"/>
        </w:rPr>
        <w:t xml:space="preserve">。</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4.6</w:t>
      </w:r>
      <w:r>
        <w:rPr>
          <w:rFonts w:hint="eastAsia" w:ascii="宋体" w:hAnsi="宋体" w:eastAsia="宋体" w:cs="宋体"/>
          <w:sz w:val="22"/>
          <w:szCs w:val="22"/>
          <w:highlight w:val="none"/>
        </w:rPr>
        <w:t xml:space="preserve">.施工排水（渗水、居民用水、雨水等）均包含在报价中，由施工单位响应时综合考虑。</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.承包人搭建的临时设施和材料堆场必须服从发包人和监理单位的统一安排。如承包人不服从，发包人有权根据项目管理规定对承包人进行处罚。</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.在国家规定的工程合理使用期限内，承包人确保该项目工程的质量。因承包人原因致使工程在合理使用期限内造成人身和财产损害的，承包人应承担损害赔偿责任。</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.发生须紧急抢修事故，承包人接到事故通知后，应立即到达事故现场抢修。</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rPr>
          <w:rFonts w:hint="eastAsia" w:ascii="宋体" w:hAnsi="宋体" w:eastAsia="宋体" w:cs="宋体"/>
          <w:sz w:val="22"/>
          <w:szCs w:val="22"/>
          <w:highlight w:val="none"/>
          <w:lang w:val="en-US" w:eastAsia="zh-CN"/>
        </w:rPr>
        <w:t xml:space="preserve">10.</w:t>
      </w:r>
      <w:r>
        <w:rPr>
          <w:rFonts w:hint="eastAsia" w:ascii="宋体" w:hAnsi="宋体" w:eastAsia="宋体" w:cs="宋体"/>
          <w:sz w:val="22"/>
          <w:szCs w:val="22"/>
          <w:highlight w:val="none"/>
        </w:rPr>
        <w:t xml:space="preserve">本工程在施工中执行现行的国家、省级及工程所在地颁发的环保、节能、电器安装、防雷、安全、消防等有关规定。</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4.1</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.承包人要对施工人员进行上岗安全培训和安全交底工作</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4.1</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4.1</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w:t>
      </w:r>
      <w:r>
        <w:rPr>
          <w:rFonts w:hint="eastAsia" w:ascii="宋体" w:hAnsi="宋体" w:eastAsia="宋体" w:cs="宋体"/>
          <w:color w:val="auto"/>
          <w:sz w:val="22"/>
          <w:szCs w:val="22"/>
          <w:highlight w:val="none"/>
        </w:rPr>
        <w:t xml:space="preserve">每发生一次群体性上访事件扣罚成交人</w:t>
      </w:r>
      <w:r>
        <w:rPr>
          <w:rFonts w:hint="eastAsia" w:ascii="宋体" w:hAnsi="宋体" w:eastAsia="宋体" w:cs="宋体"/>
          <w:color w:val="auto"/>
          <w:sz w:val="22"/>
          <w:szCs w:val="22"/>
          <w:highlight w:val="none"/>
          <w:lang w:val="en-US" w:eastAsia="zh-CN"/>
        </w:rPr>
        <w:t xml:space="preserve">10万</w:t>
      </w:r>
      <w:r>
        <w:rPr>
          <w:rFonts w:hint="eastAsia" w:ascii="宋体" w:hAnsi="宋体" w:eastAsia="宋体" w:cs="宋体"/>
          <w:color w:val="auto"/>
          <w:sz w:val="22"/>
          <w:szCs w:val="22"/>
          <w:highlight w:val="none"/>
        </w:rPr>
        <w:t xml:space="preserve">元</w:t>
      </w:r>
      <w:r>
        <w:rPr>
          <w:rFonts w:hint="eastAsia" w:ascii="宋体" w:hAnsi="宋体" w:eastAsia="宋体" w:cs="宋体"/>
          <w:sz w:val="22"/>
          <w:szCs w:val="22"/>
          <w:highlight w:val="none"/>
        </w:rPr>
        <w:t xml:space="preserve">，由承包人承担由此产生的一切后果。</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4.1</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.承包人必须根据发包人的要求在发包人规定的时间内拆除临时设施、施工机械及其基础，并将其垃圾运离施工现场，所发生的费用由承包人承担，清理完成后承包人须报监理、</w:t>
      </w:r>
      <w:r>
        <w:rPr>
          <w:rFonts w:hint="eastAsia" w:ascii="宋体" w:hAnsi="宋体" w:eastAsia="宋体" w:cs="宋体"/>
          <w:sz w:val="22"/>
          <w:szCs w:val="22"/>
          <w:highlight w:val="none"/>
          <w:lang w:eastAsia="zh-CN"/>
        </w:rPr>
        <w:t xml:space="preserve">采购人</w:t>
      </w:r>
      <w:r>
        <w:rPr>
          <w:rFonts w:hint="eastAsia" w:ascii="宋体" w:hAnsi="宋体" w:eastAsia="宋体" w:cs="宋体"/>
          <w:sz w:val="22"/>
          <w:szCs w:val="22"/>
          <w:highlight w:val="none"/>
        </w:rPr>
        <w:t xml:space="preserve">验收确认；施工场地外围5米范围内必须与施工场地内一样整洁、干净、文明施工；若发包人安排人员完成上述工作，所发生的费用将双倍从工程款中扣除。</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4.1</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4.1</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.承包人应自行处理好材料供应、设备供应等矛盾，如引起施工中断，中断期间不计取任何费用，该风险由</w:t>
      </w:r>
      <w:r>
        <w:rPr>
          <w:rFonts w:hint="eastAsia" w:ascii="宋体" w:hAnsi="宋体" w:eastAsia="宋体" w:cs="宋体"/>
          <w:sz w:val="22"/>
          <w:szCs w:val="22"/>
          <w:highlight w:val="none"/>
          <w:lang w:eastAsia="zh-CN"/>
        </w:rPr>
        <w:t xml:space="preserve">供应商</w:t>
      </w:r>
      <w:r>
        <w:rPr>
          <w:rFonts w:hint="eastAsia" w:ascii="宋体" w:hAnsi="宋体" w:eastAsia="宋体" w:cs="宋体"/>
          <w:sz w:val="22"/>
          <w:szCs w:val="22"/>
          <w:highlight w:val="none"/>
        </w:rPr>
        <w:t xml:space="preserve">在投标报价时自行考虑。承包人须加强对场地周边城市、公建配套管网的保护，如发生破坏，由承包人负责赔偿，并承担全部责任。</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必须认真踏勘现场，考虑行人、行车干扰，相关费用已包含在</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投标报价中。</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4.1</w:t>
      </w: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.工程使用的所有材料、设备必须经建设单位认可后方可进场使用，如不经发包人和监理单位认可，承包人擅自进场使用的，发包人有权拒付该部分款项同时有权对承包人处违约金</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万元的处罚并终止合同，同时承包人还须赔偿建设单位实际损失。</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4.</w:t>
      </w:r>
      <w:r>
        <w:rPr>
          <w:rFonts w:hint="eastAsia" w:ascii="宋体" w:hAnsi="宋体" w:eastAsia="宋体" w:cs="宋体"/>
          <w:sz w:val="22"/>
          <w:szCs w:val="22"/>
          <w:highlight w:val="none"/>
          <w:lang w:val="en-US" w:eastAsia="zh-CN"/>
        </w:rPr>
        <w:t xml:space="preserve">19</w:t>
      </w:r>
      <w:r>
        <w:rPr>
          <w:rFonts w:hint="eastAsia" w:ascii="宋体" w:hAnsi="宋体" w:eastAsia="宋体" w:cs="宋体"/>
          <w:sz w:val="22"/>
          <w:szCs w:val="22"/>
          <w:highlight w:val="none"/>
        </w:rPr>
        <w:t xml:space="preserve">.本工程发生工程变更或产生签证引起工程造价增减的，最终价格以“工程竣工结算核对并经发包人、承包人双方确认签字”的文件为准。</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4.2</w:t>
      </w:r>
      <w:r>
        <w:rPr>
          <w:rFonts w:hint="eastAsia" w:ascii="宋体" w:hAnsi="宋体" w:eastAsia="宋体" w:cs="宋体"/>
          <w:sz w:val="22"/>
          <w:szCs w:val="22"/>
          <w:highlight w:val="none"/>
          <w:lang w:val="en-US" w:eastAsia="zh-CN"/>
        </w:rPr>
        <w:t xml:space="preserve">0</w:t>
      </w:r>
      <w:r>
        <w:rPr>
          <w:rFonts w:hint="eastAsia" w:ascii="宋体" w:hAnsi="宋体" w:eastAsia="宋体" w:cs="宋体"/>
          <w:sz w:val="22"/>
          <w:szCs w:val="22"/>
          <w:highlight w:val="none"/>
        </w:rPr>
        <w:t xml:space="preserve">.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4.2</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eastAsia="zh-CN"/>
        </w:rPr>
        <w:t xml:space="preserve">供应商</w:t>
      </w:r>
      <w:r>
        <w:rPr>
          <w:rFonts w:hint="eastAsia" w:ascii="宋体" w:hAnsi="宋体" w:eastAsia="宋体" w:cs="宋体"/>
          <w:sz w:val="22"/>
          <w:szCs w:val="22"/>
          <w:highlight w:val="none"/>
        </w:rPr>
        <w:t xml:space="preserve">要充分了解项目情况，对招标控制价</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或</w:t>
      </w:r>
      <w:r>
        <w:rPr>
          <w:rFonts w:hint="eastAsia" w:ascii="宋体" w:hAnsi="宋体" w:eastAsia="宋体" w:cs="宋体"/>
          <w:bCs/>
          <w:color w:val="000000"/>
          <w:sz w:val="22"/>
          <w:szCs w:val="22"/>
          <w:highlight w:val="none"/>
        </w:rPr>
        <w:t xml:space="preserve">最高限价</w:t>
      </w:r>
      <w:r>
        <w:rPr>
          <w:rFonts w:hint="eastAsia" w:ascii="宋体" w:hAnsi="宋体" w:eastAsia="宋体" w:cs="宋体"/>
          <w:sz w:val="22"/>
          <w:szCs w:val="22"/>
          <w:highlight w:val="none"/>
        </w:rPr>
        <w:t xml:space="preserve">）如有异议，</w:t>
      </w:r>
      <w:r>
        <w:rPr>
          <w:rFonts w:hint="eastAsia" w:ascii="宋体" w:hAnsi="宋体" w:eastAsia="宋体" w:cs="宋体"/>
          <w:sz w:val="22"/>
          <w:szCs w:val="22"/>
          <w:highlight w:val="none"/>
          <w:lang w:eastAsia="zh-CN"/>
        </w:rPr>
        <w:t xml:space="preserve">供应商</w:t>
      </w:r>
      <w:r>
        <w:rPr>
          <w:rFonts w:hint="eastAsia" w:ascii="宋体" w:hAnsi="宋体" w:eastAsia="宋体" w:cs="宋体"/>
          <w:sz w:val="22"/>
          <w:szCs w:val="22"/>
          <w:highlight w:val="none"/>
        </w:rPr>
        <w:t xml:space="preserve">需按采购文件约定的时间提出异议，如</w:t>
      </w:r>
      <w:r>
        <w:rPr>
          <w:rFonts w:hint="eastAsia" w:ascii="宋体" w:hAnsi="宋体" w:eastAsia="宋体" w:cs="宋体"/>
          <w:sz w:val="22"/>
          <w:szCs w:val="22"/>
          <w:highlight w:val="none"/>
          <w:lang w:eastAsia="zh-CN"/>
        </w:rPr>
        <w:t xml:space="preserve">供应商</w:t>
      </w:r>
      <w:r>
        <w:rPr>
          <w:rFonts w:hint="eastAsia" w:ascii="宋体" w:hAnsi="宋体" w:eastAsia="宋体" w:cs="宋体"/>
          <w:sz w:val="22"/>
          <w:szCs w:val="22"/>
          <w:highlight w:val="none"/>
        </w:rPr>
        <w:t xml:space="preserve">在</w:t>
      </w:r>
      <w:r>
        <w:rPr>
          <w:rFonts w:hint="eastAsia" w:ascii="宋体" w:hAnsi="宋体" w:eastAsia="宋体" w:cs="宋体"/>
          <w:sz w:val="22"/>
          <w:szCs w:val="22"/>
          <w:highlight w:val="none"/>
          <w:lang w:val="en-US" w:eastAsia="zh-CN"/>
        </w:rPr>
        <w:t xml:space="preserve">磋商响应</w:t>
      </w:r>
      <w:r>
        <w:rPr>
          <w:rFonts w:hint="eastAsia" w:ascii="宋体" w:hAnsi="宋体" w:eastAsia="宋体" w:cs="宋体"/>
          <w:sz w:val="22"/>
          <w:szCs w:val="22"/>
          <w:highlight w:val="none"/>
        </w:rPr>
        <w:t xml:space="preserve">期间无异议，那</w:t>
      </w:r>
      <w:r>
        <w:rPr>
          <w:rFonts w:hint="eastAsia" w:ascii="宋体" w:hAnsi="宋体" w:eastAsia="宋体" w:cs="宋体"/>
          <w:sz w:val="22"/>
          <w:szCs w:val="22"/>
          <w:highlight w:val="none"/>
          <w:lang w:eastAsia="zh-CN"/>
        </w:rPr>
        <w:t xml:space="preserve">供应商</w:t>
      </w:r>
      <w:r>
        <w:rPr>
          <w:rFonts w:hint="eastAsia" w:ascii="宋体" w:hAnsi="宋体" w:eastAsia="宋体" w:cs="宋体"/>
          <w:sz w:val="22"/>
          <w:szCs w:val="22"/>
          <w:highlight w:val="none"/>
        </w:rPr>
        <w:t xml:space="preserve">成交后不得再以任何理由向</w:t>
      </w:r>
      <w:r>
        <w:rPr>
          <w:rFonts w:hint="eastAsia" w:ascii="宋体" w:hAnsi="宋体" w:eastAsia="宋体" w:cs="宋体"/>
          <w:sz w:val="22"/>
          <w:szCs w:val="22"/>
          <w:highlight w:val="none"/>
          <w:lang w:eastAsia="zh-CN"/>
        </w:rPr>
        <w:t xml:space="preserve">采购人</w:t>
      </w:r>
      <w:r>
        <w:rPr>
          <w:rFonts w:hint="eastAsia" w:ascii="宋体" w:hAnsi="宋体" w:eastAsia="宋体" w:cs="宋体"/>
          <w:sz w:val="22"/>
          <w:szCs w:val="22"/>
          <w:highlight w:val="none"/>
        </w:rPr>
        <w:t xml:space="preserve">提出任何费用。</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4.2</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.农民工工资支付及担保按照国家、省市相关规定执行。</w:t>
      </w:r>
      <w:r/>
    </w:p>
    <w:p>
      <w:pPr>
        <w:ind w:firstLine="457"/>
        <w:keepLines w:val="0"/>
        <w:keepNext w:val="0"/>
        <w:pageBreakBefore w:val="0"/>
        <w:spacing w:line="360" w:lineRule="auto"/>
        <w:widowControl w:val="off"/>
        <w:tabs>
          <w:tab w:val="right" w:pos="735" w:leader="none"/>
          <w:tab w:val="left" w:pos="945" w:leader="none"/>
          <w:tab w:val="left" w:pos="147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4.2</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ind w:firstLine="42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sz w:val="22"/>
          <w:szCs w:val="22"/>
          <w:highlight w:val="none"/>
        </w:rPr>
        <w:t xml:space="preserve">4.2</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r/>
    </w:p>
    <w:p>
      <w:pPr>
        <w:ind w:firstLine="420"/>
        <w:keepLines w:val="0"/>
        <w:keepNext w:val="0"/>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en-US" w:eastAsia="zh-CN"/>
        </w:rPr>
        <w:t xml:space="preserve">4.25.采购人不组织踏勘现场，</w:t>
      </w:r>
      <w:r>
        <w:rPr>
          <w:rFonts w:hint="eastAsia" w:ascii="宋体" w:hAnsi="宋体" w:eastAsia="宋体" w:cs="宋体"/>
          <w:b/>
          <w:bCs/>
          <w:sz w:val="22"/>
          <w:szCs w:val="22"/>
          <w:highlight w:val="none"/>
          <w:lang w:eastAsia="zh-CN"/>
        </w:rPr>
        <w:t xml:space="preserve">供应商</w:t>
      </w:r>
      <w:r>
        <w:rPr>
          <w:rFonts w:hint="eastAsia" w:ascii="宋体" w:hAnsi="宋体" w:eastAsia="宋体" w:cs="宋体"/>
          <w:b/>
          <w:bCs/>
          <w:sz w:val="22"/>
          <w:szCs w:val="22"/>
          <w:highlight w:val="none"/>
          <w:lang w:val="en-US" w:eastAsia="zh-CN"/>
        </w:rPr>
        <w:t xml:space="preserve">应对照施工图纸</w:t>
      </w:r>
      <w:r>
        <w:rPr>
          <w:rFonts w:hint="eastAsia" w:ascii="宋体" w:hAnsi="宋体" w:eastAsia="宋体" w:cs="宋体"/>
          <w:b/>
          <w:bCs/>
          <w:sz w:val="22"/>
          <w:szCs w:val="22"/>
          <w:highlight w:val="none"/>
        </w:rPr>
        <w:t xml:space="preserve">自行踏勘现场，充分了解本工程的施工现场条件及本工程的施工难度，根据现场情况及自身的施工方法自主报价，现场</w:t>
      </w:r>
      <w:r>
        <w:rPr>
          <w:rFonts w:hint="eastAsia" w:ascii="宋体" w:hAnsi="宋体" w:eastAsia="宋体" w:cs="宋体"/>
          <w:b/>
          <w:bCs/>
          <w:sz w:val="22"/>
          <w:szCs w:val="22"/>
          <w:highlight w:val="none"/>
          <w:lang w:val="en-US" w:eastAsia="zh-CN"/>
        </w:rPr>
        <w:t xml:space="preserve">可能</w:t>
      </w:r>
      <w:r>
        <w:rPr>
          <w:rFonts w:hint="eastAsia" w:ascii="宋体" w:hAnsi="宋体" w:eastAsia="宋体" w:cs="宋体"/>
          <w:b/>
          <w:bCs/>
          <w:sz w:val="22"/>
          <w:szCs w:val="22"/>
          <w:highlight w:val="none"/>
        </w:rPr>
        <w:t xml:space="preserve">涉及的零星工程施工由</w:t>
      </w:r>
      <w:r>
        <w:rPr>
          <w:rFonts w:hint="eastAsia" w:ascii="宋体" w:hAnsi="宋体" w:eastAsia="宋体" w:cs="宋体"/>
          <w:b/>
          <w:bCs/>
          <w:sz w:val="22"/>
          <w:szCs w:val="22"/>
          <w:highlight w:val="none"/>
          <w:lang w:val="en-US" w:eastAsia="zh-CN"/>
        </w:rPr>
        <w:t xml:space="preserve">供应商</w:t>
      </w:r>
      <w:r>
        <w:rPr>
          <w:rFonts w:hint="eastAsia" w:ascii="宋体" w:hAnsi="宋体" w:eastAsia="宋体" w:cs="宋体"/>
          <w:b/>
          <w:bCs/>
          <w:sz w:val="22"/>
          <w:szCs w:val="22"/>
          <w:highlight w:val="none"/>
        </w:rPr>
        <w:t xml:space="preserve">自行考虑在报价中。</w:t>
      </w:r>
      <w:r/>
    </w:p>
    <w:p>
      <w:pPr>
        <w:ind w:firstLine="420"/>
        <w:keepLines w:val="0"/>
        <w:keepNext w:val="0"/>
        <w:pageBreakBefore w:val="0"/>
        <w:spacing w:line="360" w:lineRule="auto"/>
        <w:widowControl w:val="off"/>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 xml:space="preserve">5.商务要求</w:t>
      </w:r>
      <w:r/>
    </w:p>
    <w:p>
      <w:pPr>
        <w:ind w:firstLine="420"/>
        <w:keepLines w:val="0"/>
        <w:keepNext w:val="0"/>
        <w:pageBreakBefore w:val="0"/>
        <w:spacing w:line="360" w:lineRule="auto"/>
        <w:widowControl w:val="off"/>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 xml:space="preserve">5.1.工期要求：</w:t>
      </w:r>
      <w:r>
        <w:rPr>
          <w:rFonts w:hint="eastAsia" w:ascii="宋体" w:hAnsi="宋体" w:cs="宋体"/>
          <w:b/>
          <w:bCs/>
          <w:sz w:val="22"/>
          <w:szCs w:val="22"/>
          <w:highlight w:val="none"/>
          <w:lang w:val="en-US" w:eastAsia="zh-CN"/>
        </w:rPr>
        <w:t xml:space="preserve">30</w:t>
      </w:r>
      <w:r>
        <w:rPr>
          <w:rFonts w:hint="eastAsia" w:ascii="宋体" w:hAnsi="宋体" w:eastAsia="宋体" w:cs="宋体"/>
          <w:b w:val="0"/>
          <w:bCs w:val="0"/>
          <w:sz w:val="22"/>
          <w:szCs w:val="22"/>
          <w:highlight w:val="none"/>
          <w:lang w:val="en-US" w:eastAsia="zh-CN"/>
        </w:rPr>
        <w:t xml:space="preserve">日历天</w:t>
      </w:r>
      <w:r>
        <w:rPr>
          <w:rFonts w:hint="eastAsia" w:ascii="宋体" w:hAnsi="宋体" w:eastAsia="宋体" w:cs="宋体"/>
          <w:b/>
          <w:bCs/>
          <w:sz w:val="22"/>
          <w:szCs w:val="22"/>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bCs/>
          <w:sz w:val="22"/>
          <w:szCs w:val="22"/>
          <w:highlight w:val="none"/>
          <w:lang w:val="en-US" w:eastAsia="zh-CN"/>
        </w:rPr>
        <w:t xml:space="preserve">5.2.付款方式： </w:t>
      </w:r>
      <w:r>
        <w:rPr>
          <w:rFonts w:hint="eastAsia" w:ascii="宋体" w:hAnsi="宋体" w:cs="宋体"/>
          <w:b w:val="0"/>
          <w:bCs w:val="0"/>
          <w:sz w:val="22"/>
          <w:szCs w:val="22"/>
          <w:highlight w:val="none"/>
          <w:lang w:val="en-US" w:eastAsia="zh-CN"/>
        </w:rPr>
        <w:t xml:space="preserve">工程竣工验收合格并经审计后年底付至审计价的80%，余款第二年年底按审计价一次性付清</w:t>
      </w:r>
      <w:r>
        <w:rPr>
          <w:rFonts w:hint="eastAsia" w:ascii="宋体" w:hAnsi="宋体" w:eastAsia="宋体" w:cs="宋体"/>
          <w:b w:val="0"/>
          <w:bCs w:val="0"/>
          <w:sz w:val="22"/>
          <w:szCs w:val="22"/>
          <w:highlight w:val="non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bCs/>
          <w:sz w:val="22"/>
          <w:szCs w:val="22"/>
          <w:highlight w:val="none"/>
          <w:lang w:val="en-US" w:eastAsia="zh-CN"/>
        </w:rPr>
        <w:t xml:space="preserve">5.3.履约保证金的形式：</w:t>
      </w:r>
      <w:r>
        <w:rPr>
          <w:rFonts w:hint="eastAsia" w:ascii="宋体" w:hAnsi="宋体" w:eastAsia="宋体" w:cs="宋体"/>
          <w:b w:val="0"/>
          <w:bCs w:val="0"/>
          <w:sz w:val="22"/>
          <w:szCs w:val="22"/>
          <w:highlight w:val="none"/>
          <w:lang w:val="en-US" w:eastAsia="zh-CN"/>
        </w:rPr>
        <w:t xml:space="preserve">支票、汇票、本票或者金融机构、担保机构出具的保函、电子履约保函（保险）等法律法规允许的非现金形式</w:t>
      </w:r>
      <w:r/>
    </w:p>
    <w:p>
      <w:pPr>
        <w:ind w:firstLine="420"/>
        <w:keepLines w:val="0"/>
        <w:keepNext w:val="0"/>
        <w:pageBreakBefore w:val="0"/>
        <w:spacing w:line="36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履约保证金的金额：成交价×10% </w:t>
      </w:r>
      <w:r/>
    </w:p>
    <w:p>
      <w:pPr>
        <w:ind w:firstLine="420"/>
        <w:keepLines w:val="0"/>
        <w:keepNext w:val="0"/>
        <w:pageBreakBefore w:val="0"/>
        <w:spacing w:line="36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履约保证金的提交时间：成交通知书签发后签订合同前</w:t>
      </w:r>
      <w:r/>
    </w:p>
    <w:p>
      <w:pPr>
        <w:ind w:firstLine="420"/>
        <w:keepLines w:val="0"/>
        <w:keepNext w:val="0"/>
        <w:pageBreakBefore w:val="0"/>
        <w:spacing w:line="36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注：电子履约保函（保险）的形式和缴纳方式执行“关于在全省政府采购领域推行电子履约保函(保险)的通知”（苏财购〔2023〕150号）。</w:t>
      </w:r>
      <w:r/>
    </w:p>
    <w:p>
      <w:pPr>
        <w:ind w:firstLine="420"/>
        <w:keepLines w:val="0"/>
        <w:keepNext w:val="0"/>
        <w:pageBreakBefore w:val="0"/>
        <w:spacing w:line="36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退还时间：在成交人按承诺的工期、质量标准、规范要求完成项目后无息返还。工程竣工验收合格后凭工程竣工验收合格证书和收据办理退还手续。</w:t>
      </w:r>
      <w:r/>
    </w:p>
    <w:p>
      <w:pPr>
        <w:rPr>
          <w:rFonts w:hint="eastAsia" w:ascii="宋体" w:hAnsi="宋体" w:cs="宋体"/>
          <w:b w:val="0"/>
          <w:bCs w:val="0"/>
          <w:sz w:val="22"/>
          <w:szCs w:val="22"/>
          <w:highlight w:val="none"/>
          <w:lang w:val="en-US" w:eastAsia="zh-CN"/>
        </w:rPr>
      </w:pPr>
      <w:r>
        <w:rPr>
          <w:rFonts w:hint="eastAsia" w:ascii="宋体" w:hAnsi="宋体" w:cs="宋体"/>
          <w:b w:val="0"/>
          <w:bCs w:val="0"/>
          <w:sz w:val="22"/>
          <w:szCs w:val="22"/>
          <w:highlight w:val="none"/>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bCs/>
          <w:caps w:val="0"/>
          <w:sz w:val="32"/>
          <w:szCs w:val="32"/>
          <w:highlight w:val="none"/>
          <w:lang w:val="en-US" w:eastAsia="zh-CN" w:bidi="ar-SA"/>
        </w:rPr>
      </w:pPr>
      <w:r/>
      <w:bookmarkStart w:id="576" w:name="_Toc26939"/>
      <w:r/>
      <w:bookmarkStart w:id="577" w:name="_Toc16203"/>
      <w:r/>
      <w:bookmarkStart w:id="578" w:name="_Toc3533"/>
      <w:r>
        <w:rPr>
          <w:rFonts w:hint="eastAsia" w:ascii="宋体" w:hAnsi="宋体" w:eastAsia="宋体" w:cs="宋体"/>
          <w:b/>
          <w:bCs/>
          <w:sz w:val="32"/>
          <w:szCs w:val="32"/>
          <w:highlight w:val="none"/>
          <w:lang w:val="en-US" w:eastAsia="zh-CN"/>
        </w:rPr>
        <w:t xml:space="preserve">第五章 </w:t>
      </w:r>
      <w:bookmarkEnd w:id="555"/>
      <w:r/>
      <w:bookmarkEnd w:id="556"/>
      <w:r/>
      <w:bookmarkEnd w:id="557"/>
      <w:r/>
      <w:bookmarkEnd w:id="558"/>
      <w:r/>
      <w:bookmarkEnd w:id="559"/>
      <w:r>
        <w:rPr>
          <w:rFonts w:hint="eastAsia" w:ascii="宋体" w:hAnsi="宋体" w:eastAsia="宋体" w:cs="宋体"/>
          <w:b/>
          <w:bCs/>
          <w:sz w:val="32"/>
          <w:szCs w:val="32"/>
          <w:highlight w:val="none"/>
          <w:lang w:val="en-US" w:eastAsia="zh-CN"/>
        </w:rPr>
        <w:t xml:space="preserve"> 响应文件的编制及格式</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6"/>
      <w:r/>
      <w:bookmarkEnd w:id="577"/>
      <w:r/>
      <w:bookmarkEnd w:id="578"/>
      <w:r/>
      <w:bookmarkStart w:id="579" w:name="_Hlt26671244"/>
      <w:r/>
      <w:bookmarkEnd w:id="579"/>
      <w:r/>
      <w:bookmarkStart w:id="580" w:name="_Hlt26955039"/>
      <w:r/>
      <w:bookmarkEnd w:id="580"/>
      <w:r/>
      <w:bookmarkStart w:id="581" w:name="_Toc288030359"/>
      <w:r/>
      <w:bookmarkStart w:id="582" w:name="_Toc49090576"/>
      <w:r/>
      <w:bookmarkStart w:id="583" w:name="_Toc26554094"/>
      <w:r/>
      <w:bookmarkStart w:id="584" w:name="_Toc282446331"/>
      <w:r/>
      <w:bookmarkStart w:id="585" w:name="_Toc120614282"/>
      <w:r/>
      <w:r/>
    </w:p>
    <w:p>
      <w:pPr>
        <w:spacing w:after="60" w:line="4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80"/>
        <w:keepLines w:val="0"/>
        <w:keepNext w:val="0"/>
        <w:pageBreakBefore w:val="0"/>
        <w:spacing w:line="360" w:lineRule="auto"/>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1.响应文件的构成</w:t>
      </w:r>
      <w:r/>
    </w:p>
    <w:p>
      <w:pPr>
        <w:ind w:firstLine="48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（1）磋商报价表</w:t>
      </w:r>
      <w:r/>
    </w:p>
    <w:p>
      <w:pPr>
        <w:ind w:firstLine="480"/>
        <w:keepLines w:val="0"/>
        <w:keepNext w:val="0"/>
        <w:pageBreakBefore w:val="0"/>
        <w:spacing w:line="360" w:lineRule="auto"/>
        <w:widowControl w:val="off"/>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rPr>
        <w:t xml:space="preserve">（2）响应函</w:t>
      </w:r>
      <w:r>
        <w:rPr>
          <w:rFonts w:hint="eastAsia" w:ascii="宋体" w:hAnsi="宋体" w:eastAsia="宋体" w:cs="宋体"/>
          <w:bCs/>
          <w:sz w:val="22"/>
          <w:szCs w:val="22"/>
          <w:highlight w:val="none"/>
          <w:lang w:val="en-US" w:eastAsia="zh-CN"/>
        </w:rPr>
        <w:t xml:space="preserve">及附录</w:t>
      </w:r>
      <w:r/>
    </w:p>
    <w:p>
      <w:pPr>
        <w:ind w:firstLine="48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（3）资格及资信证明文件</w:t>
      </w:r>
      <w:r/>
    </w:p>
    <w:p>
      <w:pPr>
        <w:ind w:firstLine="480"/>
        <w:keepLines w:val="0"/>
        <w:keepNext w:val="0"/>
        <w:pageBreakBefore w:val="0"/>
        <w:spacing w:line="360" w:lineRule="auto"/>
        <w:widowControl w:val="off"/>
        <w:rPr>
          <w:rFonts w:hint="eastAsia" w:ascii="宋体" w:hAnsi="宋体" w:eastAsia="宋体" w:cs="宋体"/>
          <w:bCs/>
          <w:sz w:val="22"/>
          <w:szCs w:val="22"/>
          <w:highlight w:val="none"/>
          <w:lang w:eastAsia="zh-CN"/>
        </w:rPr>
      </w:pPr>
      <w:r>
        <w:rPr>
          <w:rFonts w:hint="eastAsia" w:ascii="宋体" w:hAnsi="宋体" w:eastAsia="宋体" w:cs="宋体"/>
          <w:bCs/>
          <w:sz w:val="22"/>
          <w:szCs w:val="22"/>
          <w:highlight w:val="none"/>
        </w:rPr>
        <w:t xml:space="preserve">（4）技术标准和要求响应</w:t>
      </w:r>
      <w:r>
        <w:rPr>
          <w:rFonts w:hint="eastAsia" w:ascii="宋体" w:hAnsi="宋体" w:eastAsia="宋体" w:cs="宋体"/>
          <w:bCs/>
          <w:sz w:val="22"/>
          <w:szCs w:val="22"/>
          <w:highlight w:val="none"/>
          <w:lang w:val="en-US" w:eastAsia="zh-CN"/>
        </w:rPr>
        <w:t xml:space="preserve">承诺</w:t>
      </w:r>
      <w:r/>
    </w:p>
    <w:p>
      <w:pPr>
        <w:ind w:firstLine="48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（5）企业综合实力证明材料</w:t>
      </w:r>
      <w:r/>
    </w:p>
    <w:p>
      <w:pPr>
        <w:ind w:firstLine="48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（6）供应商认为应列入响应文件的其他材料</w:t>
      </w:r>
      <w:r/>
    </w:p>
    <w:p>
      <w:pPr>
        <w:ind w:firstLine="420"/>
        <w:keepLines w:val="0"/>
        <w:keepNext w:val="0"/>
        <w:pageBreakBefore w:val="0"/>
        <w:spacing w:line="360" w:lineRule="auto"/>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2.响应文件的编制内容及编制要求</w:t>
      </w:r>
      <w:r/>
    </w:p>
    <w:p>
      <w:pPr>
        <w:ind w:firstLine="420"/>
        <w:keepLines w:val="0"/>
        <w:keepNext w:val="0"/>
        <w:pageBreakBefore w:val="0"/>
        <w:spacing w:line="360" w:lineRule="auto"/>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磋商报价表</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1</w:t>
      </w:r>
      <w:r>
        <w:rPr>
          <w:rFonts w:hint="eastAsia" w:ascii="宋体" w:hAnsi="宋体" w:eastAsia="宋体" w:cs="宋体"/>
          <w:bCs/>
          <w:sz w:val="22"/>
          <w:szCs w:val="22"/>
          <w:highlight w:val="none"/>
        </w:rPr>
        <w:t xml:space="preserve">.1供应商必须按表中规定格式完整、清晰、正确填写；</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1</w:t>
      </w:r>
      <w:r>
        <w:rPr>
          <w:rFonts w:hint="eastAsia" w:ascii="宋体" w:hAnsi="宋体" w:eastAsia="宋体" w:cs="宋体"/>
          <w:bCs/>
          <w:sz w:val="22"/>
          <w:szCs w:val="22"/>
          <w:highlight w:val="none"/>
        </w:rPr>
        <w:t xml:space="preserve">.2磋商报价表中的价格应与响应文件中响应函中的价格一致。</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1</w:t>
      </w:r>
      <w:r>
        <w:rPr>
          <w:rFonts w:hint="eastAsia" w:ascii="宋体" w:hAnsi="宋体" w:eastAsia="宋体" w:cs="宋体"/>
          <w:bCs/>
          <w:sz w:val="22"/>
          <w:szCs w:val="22"/>
          <w:highlight w:val="none"/>
        </w:rPr>
        <w:t xml:space="preserve">.3磋商报价表格式见附件。</w:t>
      </w:r>
      <w:r/>
    </w:p>
    <w:p>
      <w:pPr>
        <w:ind w:firstLine="420"/>
        <w:keepLines w:val="0"/>
        <w:keepNext w:val="0"/>
        <w:pageBreakBefore w:val="0"/>
        <w:spacing w:line="360" w:lineRule="auto"/>
        <w:widowControl w:val="off"/>
        <w:rPr>
          <w:rFonts w:hint="eastAsia" w:ascii="宋体" w:hAnsi="宋体" w:eastAsia="宋体" w:cs="宋体"/>
          <w:b/>
          <w:sz w:val="22"/>
          <w:szCs w:val="22"/>
          <w:highlight w:val="none"/>
          <w:lang w:val="en-US" w:eastAsia="zh-CN"/>
        </w:rPr>
      </w:pPr>
      <w:r>
        <w:rPr>
          <w:rFonts w:hint="eastAsia" w:ascii="宋体" w:hAnsi="宋体" w:eastAsia="宋体" w:cs="宋体"/>
          <w:b/>
          <w:sz w:val="22"/>
          <w:szCs w:val="22"/>
          <w:highlight w:val="none"/>
        </w:rPr>
        <w:t xml:space="preserve">2.</w:t>
      </w:r>
      <w:r>
        <w:rPr>
          <w:rFonts w:hint="eastAsia" w:ascii="宋体" w:hAnsi="宋体" w:eastAsia="宋体" w:cs="宋体"/>
          <w:b/>
          <w:sz w:val="22"/>
          <w:szCs w:val="22"/>
          <w:highlight w:val="none"/>
          <w:lang w:val="en-US" w:eastAsia="zh-CN"/>
        </w:rPr>
        <w:t xml:space="preserve">2</w:t>
      </w:r>
      <w:r>
        <w:rPr>
          <w:rFonts w:hint="eastAsia" w:ascii="宋体" w:hAnsi="宋体" w:eastAsia="宋体" w:cs="宋体"/>
          <w:b/>
          <w:sz w:val="22"/>
          <w:szCs w:val="22"/>
          <w:highlight w:val="none"/>
        </w:rPr>
        <w:t xml:space="preserve">响应函</w:t>
      </w:r>
      <w:r>
        <w:rPr>
          <w:rFonts w:hint="eastAsia" w:ascii="宋体" w:hAnsi="宋体" w:eastAsia="宋体" w:cs="宋体"/>
          <w:b/>
          <w:sz w:val="22"/>
          <w:szCs w:val="22"/>
          <w:highlight w:val="none"/>
          <w:lang w:val="en-US" w:eastAsia="zh-CN"/>
        </w:rPr>
        <w:t xml:space="preserve">及附录</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2</w:t>
      </w:r>
      <w:r>
        <w:rPr>
          <w:rFonts w:hint="eastAsia" w:ascii="宋体" w:hAnsi="宋体" w:eastAsia="宋体" w:cs="宋体"/>
          <w:bCs/>
          <w:sz w:val="22"/>
          <w:szCs w:val="22"/>
          <w:highlight w:val="none"/>
        </w:rPr>
        <w:t xml:space="preserve">.1供应商必须按表中规定格式完整、清晰、正确填写；</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2</w:t>
      </w:r>
      <w:r>
        <w:rPr>
          <w:rFonts w:hint="eastAsia" w:ascii="宋体" w:hAnsi="宋体" w:eastAsia="宋体" w:cs="宋体"/>
          <w:bCs/>
          <w:sz w:val="22"/>
          <w:szCs w:val="22"/>
          <w:highlight w:val="none"/>
        </w:rPr>
        <w:t xml:space="preserve">.2响应函</w:t>
      </w:r>
      <w:r>
        <w:rPr>
          <w:rFonts w:hint="eastAsia" w:ascii="宋体" w:hAnsi="宋体" w:eastAsia="宋体" w:cs="宋体"/>
          <w:bCs/>
          <w:sz w:val="22"/>
          <w:szCs w:val="22"/>
          <w:highlight w:val="none"/>
          <w:lang w:val="en-US" w:eastAsia="zh-CN"/>
        </w:rPr>
        <w:t xml:space="preserve">及附录</w:t>
      </w:r>
      <w:r>
        <w:rPr>
          <w:rFonts w:hint="eastAsia" w:ascii="宋体" w:hAnsi="宋体" w:eastAsia="宋体" w:cs="宋体"/>
          <w:bCs/>
          <w:sz w:val="22"/>
          <w:szCs w:val="22"/>
          <w:highlight w:val="none"/>
        </w:rPr>
        <w:t xml:space="preserve">应加盖供应商公章并经法定代表人或经其正式授权的代表签名或盖章。授权代表签名或盖章时，须将《法定代表人授权委托书》及其附件附在响应文件中。</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2</w:t>
      </w:r>
      <w:r>
        <w:rPr>
          <w:rFonts w:hint="eastAsia" w:ascii="宋体" w:hAnsi="宋体" w:eastAsia="宋体" w:cs="宋体"/>
          <w:bCs/>
          <w:sz w:val="22"/>
          <w:szCs w:val="22"/>
          <w:highlight w:val="none"/>
        </w:rPr>
        <w:t xml:space="preserve">.3响应函</w:t>
      </w:r>
      <w:r>
        <w:rPr>
          <w:rFonts w:hint="eastAsia" w:ascii="宋体" w:hAnsi="宋体" w:eastAsia="宋体" w:cs="宋体"/>
          <w:bCs/>
          <w:sz w:val="22"/>
          <w:szCs w:val="22"/>
          <w:highlight w:val="none"/>
          <w:lang w:val="en-US" w:eastAsia="zh-CN"/>
        </w:rPr>
        <w:t xml:space="preserve">及附录</w:t>
      </w:r>
      <w:r>
        <w:rPr>
          <w:rFonts w:hint="eastAsia" w:ascii="宋体" w:hAnsi="宋体" w:eastAsia="宋体" w:cs="宋体"/>
          <w:bCs/>
          <w:sz w:val="22"/>
          <w:szCs w:val="22"/>
          <w:highlight w:val="none"/>
        </w:rPr>
        <w:t xml:space="preserve">和法定代表人授权委托书的格式见附件。</w:t>
      </w:r>
      <w:r/>
    </w:p>
    <w:p>
      <w:pPr>
        <w:ind w:firstLine="420"/>
        <w:keepLines w:val="0"/>
        <w:keepNext w:val="0"/>
        <w:pageBreakBefore w:val="0"/>
        <w:spacing w:line="360" w:lineRule="auto"/>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w:t>
      </w:r>
      <w:r>
        <w:rPr>
          <w:rFonts w:hint="eastAsia" w:ascii="宋体" w:hAnsi="宋体" w:eastAsia="宋体" w:cs="宋体"/>
          <w:b/>
          <w:sz w:val="22"/>
          <w:szCs w:val="22"/>
          <w:highlight w:val="none"/>
          <w:lang w:val="en-US" w:eastAsia="zh-CN"/>
        </w:rPr>
        <w:t xml:space="preserve">3</w:t>
      </w:r>
      <w:r>
        <w:rPr>
          <w:rFonts w:hint="eastAsia" w:ascii="宋体" w:hAnsi="宋体" w:eastAsia="宋体" w:cs="宋体"/>
          <w:b/>
          <w:sz w:val="22"/>
          <w:szCs w:val="22"/>
          <w:highlight w:val="none"/>
        </w:rPr>
        <w:t xml:space="preserve">资格及资信证明文件</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3</w:t>
      </w:r>
      <w:r>
        <w:rPr>
          <w:rFonts w:hint="eastAsia" w:ascii="宋体" w:hAnsi="宋体" w:eastAsia="宋体" w:cs="宋体"/>
          <w:bCs/>
          <w:sz w:val="22"/>
          <w:szCs w:val="22"/>
          <w:highlight w:val="none"/>
        </w:rPr>
        <w:t xml:space="preserve">.1该部分内容是资格性审查和综合评分的依据，供应商应根据第三章</w:t>
      </w:r>
      <w:r>
        <w:rPr>
          <w:rFonts w:hint="eastAsia" w:ascii="宋体" w:hAnsi="宋体" w:eastAsia="宋体" w:cs="宋体"/>
          <w:bCs/>
          <w:sz w:val="22"/>
          <w:szCs w:val="22"/>
          <w:highlight w:val="none"/>
          <w:lang w:val="en-US" w:eastAsia="zh-CN"/>
        </w:rPr>
        <w:t xml:space="preserve">竞争性磋商</w:t>
      </w:r>
      <w:r>
        <w:rPr>
          <w:rFonts w:hint="eastAsia" w:ascii="宋体" w:hAnsi="宋体" w:eastAsia="宋体" w:cs="宋体"/>
          <w:bCs/>
          <w:sz w:val="22"/>
          <w:szCs w:val="22"/>
          <w:highlight w:val="none"/>
        </w:rPr>
        <w:t xml:space="preserve">的评审内容和评审标准提供相应的材料。</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3</w:t>
      </w:r>
      <w:r>
        <w:rPr>
          <w:rFonts w:hint="eastAsia" w:ascii="宋体" w:hAnsi="宋体" w:eastAsia="宋体" w:cs="宋体"/>
          <w:bCs/>
          <w:sz w:val="22"/>
          <w:szCs w:val="22"/>
          <w:highlight w:val="none"/>
        </w:rPr>
        <w:t xml:space="preserve">.2资格及资信证明文件应包括而不限于以下内容：</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（1）供应商基本资格条件承诺书</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2</w:t>
      </w:r>
      <w:r>
        <w:rPr>
          <w:rFonts w:hint="eastAsia" w:ascii="宋体" w:hAnsi="宋体" w:eastAsia="宋体" w:cs="宋体"/>
          <w:bCs/>
          <w:sz w:val="22"/>
          <w:szCs w:val="22"/>
          <w:highlight w:val="none"/>
        </w:rPr>
        <w:t xml:space="preserve">）法定代表人授权委托书原件（法定代表人参加投标的提供法定代表人身份证明书，格式附后）</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3</w:t>
      </w: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eastAsia="zh-CN"/>
        </w:rPr>
        <w:t xml:space="preserve">供应商</w:t>
      </w:r>
      <w:r>
        <w:rPr>
          <w:rFonts w:hint="eastAsia" w:ascii="宋体" w:hAnsi="宋体" w:eastAsia="宋体" w:cs="宋体"/>
          <w:bCs/>
          <w:sz w:val="22"/>
          <w:szCs w:val="22"/>
          <w:highlight w:val="none"/>
        </w:rPr>
        <w:t xml:space="preserve">营业执照复印件加盖公章</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4</w:t>
      </w: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eastAsia="zh-CN"/>
        </w:rPr>
        <w:t xml:space="preserve">供应商</w:t>
      </w:r>
      <w:r>
        <w:rPr>
          <w:rFonts w:hint="eastAsia" w:ascii="宋体" w:hAnsi="宋体" w:eastAsia="宋体" w:cs="宋体"/>
          <w:bCs/>
          <w:sz w:val="22"/>
          <w:szCs w:val="22"/>
          <w:highlight w:val="none"/>
        </w:rPr>
        <w:t xml:space="preserve">安全生产许可证复印件加盖公章</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5</w:t>
      </w:r>
      <w:r>
        <w:rPr>
          <w:rFonts w:hint="eastAsia" w:ascii="宋体" w:hAnsi="宋体" w:eastAsia="宋体" w:cs="宋体"/>
          <w:bCs/>
          <w:sz w:val="22"/>
          <w:szCs w:val="22"/>
          <w:highlight w:val="none"/>
        </w:rPr>
        <w:t xml:space="preserve">）拟派项目负责人注册建造师证书复印件加盖公章</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6</w:t>
      </w:r>
      <w:r>
        <w:rPr>
          <w:rFonts w:hint="eastAsia" w:ascii="宋体" w:hAnsi="宋体" w:eastAsia="宋体" w:cs="宋体"/>
          <w:bCs/>
          <w:sz w:val="22"/>
          <w:szCs w:val="22"/>
          <w:highlight w:val="none"/>
        </w:rPr>
        <w:t xml:space="preserve">）拟派项目负责人安全生产考核合格证书复印件加盖公章</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7</w:t>
      </w: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eastAsia="zh-CN"/>
        </w:rPr>
        <w:t xml:space="preserve">供应商</w:t>
      </w:r>
      <w:r>
        <w:rPr>
          <w:rFonts w:hint="eastAsia" w:ascii="宋体" w:hAnsi="宋体" w:eastAsia="宋体" w:cs="宋体"/>
          <w:bCs/>
          <w:sz w:val="22"/>
          <w:szCs w:val="22"/>
          <w:highlight w:val="none"/>
        </w:rPr>
        <w:t xml:space="preserve">为项目负责人缴纳养老保险的复印件加盖公章（具体要求见</w:t>
      </w:r>
      <w:r>
        <w:rPr>
          <w:rFonts w:hint="eastAsia" w:ascii="宋体" w:hAnsi="宋体" w:eastAsia="宋体" w:cs="宋体"/>
          <w:bCs/>
          <w:sz w:val="22"/>
          <w:szCs w:val="22"/>
          <w:highlight w:val="none"/>
          <w:lang w:val="en-US" w:eastAsia="zh-CN"/>
        </w:rPr>
        <w:t xml:space="preserve">竞争性磋商</w:t>
      </w:r>
      <w:r>
        <w:rPr>
          <w:rFonts w:hint="eastAsia" w:ascii="宋体" w:hAnsi="宋体" w:eastAsia="宋体" w:cs="宋体"/>
          <w:bCs/>
          <w:sz w:val="22"/>
          <w:szCs w:val="22"/>
          <w:highlight w:val="none"/>
        </w:rPr>
        <w:t xml:space="preserve">公告）</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8</w:t>
      </w:r>
      <w:r>
        <w:rPr>
          <w:rFonts w:hint="eastAsia" w:ascii="宋体" w:hAnsi="宋体" w:eastAsia="宋体" w:cs="宋体"/>
          <w:bCs/>
          <w:sz w:val="22"/>
          <w:szCs w:val="22"/>
          <w:highlight w:val="none"/>
        </w:rPr>
        <w:t xml:space="preserve">）诚信投标承诺书（格式附后）</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lang w:eastAsia="zh-CN"/>
        </w:rPr>
        <w:t xml:space="preserve">（</w:t>
      </w:r>
      <w:r>
        <w:rPr>
          <w:rFonts w:hint="eastAsia" w:ascii="宋体" w:hAnsi="宋体" w:cs="宋体"/>
          <w:bCs/>
          <w:sz w:val="22"/>
          <w:szCs w:val="22"/>
          <w:highlight w:val="none"/>
          <w:lang w:val="en-US" w:eastAsia="zh-CN"/>
        </w:rPr>
        <w:t xml:space="preserve">9</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拟分包项目情况表（</w:t>
      </w:r>
      <w:r>
        <w:rPr>
          <w:rFonts w:hint="eastAsia" w:ascii="宋体" w:hAnsi="宋体" w:eastAsia="宋体" w:cs="宋体"/>
          <w:bCs/>
          <w:sz w:val="22"/>
          <w:szCs w:val="22"/>
          <w:highlight w:val="none"/>
          <w:lang w:val="en-US" w:eastAsia="zh-CN"/>
        </w:rPr>
        <w:t xml:space="preserve">如有，</w:t>
      </w:r>
      <w:r>
        <w:rPr>
          <w:rFonts w:hint="eastAsia" w:ascii="宋体" w:hAnsi="宋体" w:eastAsia="宋体" w:cs="宋体"/>
          <w:bCs/>
          <w:sz w:val="22"/>
          <w:szCs w:val="22"/>
          <w:highlight w:val="none"/>
        </w:rPr>
        <w:t xml:space="preserve">格式附后）</w:t>
      </w:r>
      <w:r/>
    </w:p>
    <w:p>
      <w:pPr>
        <w:ind w:firstLine="420"/>
        <w:keepLines w:val="0"/>
        <w:keepNext w:val="0"/>
        <w:pageBreakBefore w:val="0"/>
        <w:spacing w:line="360" w:lineRule="auto"/>
        <w:widowControl w:val="off"/>
        <w:rPr>
          <w:rFonts w:hint="eastAsia" w:ascii="宋体" w:hAnsi="宋体" w:eastAsia="宋体" w:cs="宋体"/>
          <w:bCs/>
          <w:sz w:val="22"/>
          <w:szCs w:val="22"/>
          <w:highlight w:val="none"/>
          <w:lang w:eastAsia="zh-CN"/>
        </w:rPr>
      </w:pP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lang w:val="en-US" w:eastAsia="zh-CN"/>
        </w:rPr>
        <w:t xml:space="preserve">1</w:t>
      </w:r>
      <w:r>
        <w:rPr>
          <w:rFonts w:hint="eastAsia" w:ascii="宋体" w:hAnsi="宋体" w:cs="宋体"/>
          <w:bCs/>
          <w:sz w:val="22"/>
          <w:szCs w:val="22"/>
          <w:highlight w:val="none"/>
          <w:lang w:val="en-US" w:eastAsia="zh-CN"/>
        </w:rPr>
        <w:t xml:space="preserve">0</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中小企业声明函、监狱企业证明、残疾人福利性单位声明函</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lang w:val="en-US" w:eastAsia="zh-CN"/>
        </w:rPr>
        <w:t xml:space="preserve">如有</w:t>
      </w:r>
      <w:r>
        <w:rPr>
          <w:rFonts w:hint="eastAsia" w:ascii="宋体" w:hAnsi="宋体" w:eastAsia="宋体" w:cs="宋体"/>
          <w:bCs/>
          <w:sz w:val="22"/>
          <w:szCs w:val="22"/>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lang w:val="en-US" w:eastAsia="zh-CN"/>
        </w:rPr>
        <w:t xml:space="preserve">1</w:t>
      </w:r>
      <w:r>
        <w:rPr>
          <w:rFonts w:hint="eastAsia" w:ascii="宋体" w:hAnsi="宋体" w:cs="宋体"/>
          <w:bCs/>
          <w:sz w:val="22"/>
          <w:szCs w:val="22"/>
          <w:highlight w:val="none"/>
          <w:lang w:val="en-US" w:eastAsia="zh-CN"/>
        </w:rPr>
        <w:t xml:space="preserve">1</w:t>
      </w:r>
      <w:r>
        <w:rPr>
          <w:rFonts w:hint="eastAsia" w:ascii="宋体" w:hAnsi="宋体" w:eastAsia="宋体" w:cs="宋体"/>
          <w:bCs/>
          <w:sz w:val="22"/>
          <w:szCs w:val="22"/>
          <w:highlight w:val="none"/>
          <w:lang w:eastAsia="zh-CN"/>
        </w:rPr>
        <w:t xml:space="preserve">）供应商</w:t>
      </w:r>
      <w:r>
        <w:rPr>
          <w:rFonts w:hint="eastAsia" w:ascii="宋体" w:hAnsi="宋体" w:eastAsia="宋体" w:cs="宋体"/>
          <w:bCs/>
          <w:sz w:val="22"/>
          <w:szCs w:val="22"/>
          <w:highlight w:val="none"/>
        </w:rPr>
        <w:t xml:space="preserve">认为需要提供的其他资格及资信证明文件</w:t>
      </w:r>
      <w:r/>
    </w:p>
    <w:p>
      <w:pPr>
        <w:ind w:firstLine="420"/>
        <w:keepLines w:val="0"/>
        <w:keepNext w:val="0"/>
        <w:pageBreakBefore w:val="0"/>
        <w:spacing w:line="360" w:lineRule="auto"/>
        <w:widowControl w:val="off"/>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rPr>
        <w:t xml:space="preserve">2.</w:t>
      </w:r>
      <w:r>
        <w:rPr>
          <w:rFonts w:hint="eastAsia" w:ascii="宋体" w:hAnsi="宋体" w:eastAsia="宋体" w:cs="宋体"/>
          <w:b/>
          <w:sz w:val="22"/>
          <w:szCs w:val="22"/>
          <w:highlight w:val="none"/>
          <w:lang w:val="en-US" w:eastAsia="zh-CN"/>
        </w:rPr>
        <w:t xml:space="preserve">4</w:t>
      </w:r>
      <w:r>
        <w:rPr>
          <w:rFonts w:hint="eastAsia" w:ascii="宋体" w:hAnsi="宋体" w:eastAsia="宋体" w:cs="宋体"/>
          <w:b/>
          <w:sz w:val="22"/>
          <w:szCs w:val="22"/>
          <w:highlight w:val="none"/>
          <w:lang w:eastAsia="zh-CN"/>
        </w:rPr>
        <w:t xml:space="preserve">技术标准和要求</w:t>
      </w:r>
      <w:r>
        <w:rPr>
          <w:rFonts w:hint="eastAsia" w:ascii="宋体" w:hAnsi="宋体" w:eastAsia="宋体" w:cs="宋体"/>
          <w:b/>
          <w:sz w:val="22"/>
          <w:szCs w:val="22"/>
          <w:highlight w:val="none"/>
        </w:rPr>
        <w:t xml:space="preserve">响应</w:t>
      </w:r>
      <w:r>
        <w:rPr>
          <w:rFonts w:hint="eastAsia" w:ascii="宋体" w:hAnsi="宋体" w:eastAsia="宋体" w:cs="宋体"/>
          <w:b/>
          <w:sz w:val="22"/>
          <w:szCs w:val="22"/>
          <w:highlight w:val="none"/>
          <w:lang w:val="en-US" w:eastAsia="zh-CN"/>
        </w:rPr>
        <w:t xml:space="preserve">承诺</w:t>
      </w:r>
      <w:r/>
    </w:p>
    <w:p>
      <w:pPr>
        <w:ind w:firstLine="420"/>
        <w:keepLines w:val="0"/>
        <w:keepNext w:val="0"/>
        <w:pageBreakBefore w:val="0"/>
        <w:spacing w:line="360" w:lineRule="auto"/>
        <w:widowControl w:val="off"/>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rPr>
        <w:t xml:space="preserve">根据磋商文件要求提供</w:t>
      </w:r>
      <w:r>
        <w:rPr>
          <w:rFonts w:hint="eastAsia" w:ascii="宋体" w:hAnsi="宋体" w:eastAsia="宋体" w:cs="宋体"/>
          <w:bCs/>
          <w:sz w:val="22"/>
          <w:szCs w:val="22"/>
          <w:highlight w:val="none"/>
          <w:lang w:eastAsia="zh-CN"/>
        </w:rPr>
        <w:t xml:space="preserve">技术标准和要求响应承诺</w:t>
      </w:r>
      <w:r>
        <w:rPr>
          <w:rFonts w:hint="eastAsia" w:ascii="宋体" w:hAnsi="宋体" w:eastAsia="宋体" w:cs="宋体"/>
          <w:bCs/>
          <w:sz w:val="22"/>
          <w:szCs w:val="22"/>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w:t>
      </w:r>
      <w:r>
        <w:rPr>
          <w:rFonts w:hint="eastAsia" w:ascii="宋体" w:hAnsi="宋体" w:eastAsia="宋体" w:cs="宋体"/>
          <w:b/>
          <w:sz w:val="22"/>
          <w:szCs w:val="22"/>
          <w:highlight w:val="none"/>
          <w:lang w:val="en-US" w:eastAsia="zh-CN"/>
        </w:rPr>
        <w:t xml:space="preserve">5</w:t>
      </w:r>
      <w:r>
        <w:rPr>
          <w:rFonts w:hint="eastAsia" w:ascii="宋体" w:hAnsi="宋体" w:eastAsia="宋体" w:cs="宋体"/>
          <w:b/>
          <w:sz w:val="22"/>
          <w:szCs w:val="22"/>
          <w:highlight w:val="none"/>
        </w:rPr>
        <w:t xml:space="preserve">企业综合实力证明材料</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对照第三章</w:t>
      </w:r>
      <w:r>
        <w:rPr>
          <w:rFonts w:hint="eastAsia" w:ascii="宋体" w:hAnsi="宋体" w:eastAsia="宋体" w:cs="宋体"/>
          <w:bCs/>
          <w:sz w:val="22"/>
          <w:szCs w:val="22"/>
          <w:highlight w:val="none"/>
          <w:lang w:val="en-US" w:eastAsia="zh-CN"/>
        </w:rPr>
        <w:t xml:space="preserve">竞争性磋商</w:t>
      </w:r>
      <w:r>
        <w:rPr>
          <w:rFonts w:hint="eastAsia" w:ascii="宋体" w:hAnsi="宋体" w:eastAsia="宋体" w:cs="宋体"/>
          <w:bCs/>
          <w:sz w:val="22"/>
          <w:szCs w:val="22"/>
          <w:highlight w:val="none"/>
        </w:rPr>
        <w:t xml:space="preserve">中的综合评分中的评审因素，针对本采购项目特点，自行编制。</w:t>
      </w:r>
      <w:r/>
    </w:p>
    <w:p>
      <w:pPr>
        <w:ind w:firstLine="420"/>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2"/>
          <w:szCs w:val="22"/>
          <w:highlight w:val="none"/>
        </w:rPr>
        <w:t xml:space="preserve">2.</w:t>
      </w:r>
      <w:r>
        <w:rPr>
          <w:rFonts w:hint="eastAsia" w:ascii="宋体" w:hAnsi="宋体" w:eastAsia="宋体" w:cs="宋体"/>
          <w:b/>
          <w:sz w:val="22"/>
          <w:szCs w:val="22"/>
          <w:highlight w:val="none"/>
          <w:lang w:val="en-US" w:eastAsia="zh-CN"/>
        </w:rPr>
        <w:t xml:space="preserve">6</w:t>
      </w:r>
      <w:r>
        <w:rPr>
          <w:rFonts w:hint="eastAsia" w:ascii="宋体" w:hAnsi="宋体" w:eastAsia="宋体" w:cs="宋体"/>
          <w:b/>
          <w:sz w:val="22"/>
          <w:szCs w:val="22"/>
          <w:highlight w:val="none"/>
        </w:rPr>
        <w:t xml:space="preserve">供应商认为应列入响应文件的其他材料</w:t>
      </w:r>
      <w:r/>
    </w:p>
    <w:p>
      <w:pPr>
        <w:spacing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r>
      <w:bookmarkEnd w:id="581"/>
      <w:bookmarkEnd w:id="582"/>
      <w:bookmarkEnd w:id="583"/>
      <w:bookmarkEnd w:id="584"/>
      <w:bookmarkEnd w:id="585"/>
      <w:r/>
    </w:p>
    <w:p>
      <w:pPr>
        <w:pStyle w:val="1051"/>
        <w:ind w:firstLine="0"/>
        <w:rPr>
          <w:rFonts w:hint="eastAsia" w:ascii="宋体" w:hAnsi="宋体" w:eastAsia="宋体" w:cs="宋体"/>
          <w:highlight w:val="none"/>
        </w:rPr>
        <w:sectPr>
          <w:footerReference w:type="default" r:id="rId17"/>
          <w:footnotePr/>
          <w:endnotePr/>
          <w:type w:val="nextPage"/>
          <w:pgSz w:w="11906" w:h="16838" w:orient="portrait"/>
          <w:pgMar w:top="1440" w:right="1531" w:bottom="1440" w:left="1531" w:header="851" w:footer="992" w:gutter="0"/>
          <w:cols w:num="1" w:sep="0" w:space="1701" w:equalWidth="1"/>
          <w:docGrid w:linePitch="360"/>
        </w:sectPr>
      </w:pPr>
      <w:r>
        <w:rPr>
          <w:rFonts w:hint="eastAsia" w:ascii="宋体" w:hAnsi="宋体" w:eastAsia="宋体" w:cs="宋体"/>
          <w:highlight w:val="none"/>
        </w:rPr>
      </w:r>
      <w:r/>
    </w:p>
    <w:p>
      <w:pPr>
        <w:spacing w:after="60" w:line="42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3.响应文件参考格式</w:t>
      </w:r>
      <w:r/>
    </w:p>
    <w:p>
      <w:pPr>
        <w:spacing w:after="60" w:line="420" w:lineRule="exact"/>
        <w:rPr>
          <w:rFonts w:hint="eastAsia" w:ascii="宋体" w:hAnsi="宋体" w:eastAsia="宋体" w:cs="宋体"/>
          <w:bCs/>
          <w:szCs w:val="21"/>
          <w:highlight w:val="none"/>
        </w:rPr>
      </w:pPr>
      <w:r>
        <w:rPr>
          <w:rFonts w:hint="eastAsia" w:ascii="宋体" w:hAnsi="宋体" w:eastAsia="宋体" w:cs="宋体"/>
          <w:bCs/>
          <w:sz w:val="28"/>
          <w:szCs w:val="28"/>
          <w:highlight w:val="none"/>
        </w:rPr>
        <w:t xml:space="preserve">3.</w:t>
      </w:r>
      <w:r>
        <w:rPr>
          <w:rFonts w:hint="eastAsia" w:ascii="宋体" w:hAnsi="宋体" w:eastAsia="宋体" w:cs="宋体"/>
          <w:bCs/>
          <w:sz w:val="28"/>
          <w:szCs w:val="28"/>
          <w:highlight w:val="none"/>
          <w:lang w:val="en-US" w:eastAsia="zh-CN"/>
        </w:rPr>
        <w:t xml:space="preserve">1</w:t>
      </w:r>
      <w:r>
        <w:rPr>
          <w:rFonts w:hint="eastAsia" w:ascii="宋体" w:hAnsi="宋体" w:eastAsia="宋体" w:cs="宋体"/>
          <w:bCs/>
          <w:sz w:val="28"/>
          <w:szCs w:val="28"/>
          <w:highlight w:val="none"/>
        </w:rPr>
        <w:t xml:space="preserve">响应文件封面格式</w:t>
      </w:r>
      <w:r/>
    </w:p>
    <w:p>
      <w:pPr>
        <w:spacing w:after="60" w:line="50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pStyle w:val="1076"/>
        <w:rPr>
          <w:rFonts w:hint="eastAsia" w:ascii="宋体" w:hAnsi="宋体" w:eastAsia="宋体" w:cs="宋体"/>
          <w:highlight w:val="none"/>
        </w:rPr>
      </w:pPr>
      <w:r>
        <w:rPr>
          <w:rFonts w:hint="eastAsia" w:ascii="宋体" w:hAnsi="宋体" w:eastAsia="宋体" w:cs="宋体"/>
          <w:highlight w:val="none"/>
        </w:rPr>
      </w:r>
      <w:r/>
    </w:p>
    <w:p>
      <w:pPr>
        <w:jc w:val="center"/>
        <w:spacing w:after="60" w:line="500" w:lineRule="exact"/>
        <w:rPr>
          <w:rFonts w:hint="eastAsia" w:ascii="宋体" w:hAnsi="宋体" w:eastAsia="宋体" w:cs="宋体"/>
          <w:b/>
          <w:sz w:val="48"/>
          <w:szCs w:val="48"/>
          <w:highlight w:val="none"/>
        </w:rPr>
      </w:pPr>
      <w:r>
        <w:rPr>
          <w:rFonts w:hint="eastAsia" w:ascii="宋体" w:hAnsi="宋体" w:eastAsia="宋体" w:cs="宋体"/>
          <w:b/>
          <w:sz w:val="48"/>
          <w:szCs w:val="48"/>
          <w:highlight w:val="none"/>
        </w:rPr>
      </w:r>
      <w:r/>
    </w:p>
    <w:p>
      <w:pPr>
        <w:jc w:val="center"/>
        <w:spacing w:after="60" w:line="500" w:lineRule="exact"/>
        <w:rPr>
          <w:rFonts w:hint="eastAsia" w:ascii="宋体" w:hAnsi="宋体" w:eastAsia="宋体" w:cs="宋体"/>
          <w:b/>
          <w:sz w:val="48"/>
          <w:szCs w:val="48"/>
          <w:highlight w:val="none"/>
        </w:rPr>
      </w:pPr>
      <w:r>
        <w:rPr>
          <w:rFonts w:hint="eastAsia" w:ascii="宋体" w:hAnsi="宋体" w:eastAsia="宋体" w:cs="宋体"/>
          <w:b/>
          <w:sz w:val="48"/>
          <w:szCs w:val="48"/>
          <w:highlight w:val="none"/>
        </w:rPr>
      </w:r>
      <w:r/>
    </w:p>
    <w:p>
      <w:pPr>
        <w:jc w:val="center"/>
        <w:spacing w:after="60" w:line="500" w:lineRule="exact"/>
        <w:rPr>
          <w:rFonts w:hint="eastAsia" w:ascii="宋体" w:hAnsi="宋体" w:eastAsia="宋体" w:cs="宋体"/>
          <w:b/>
          <w:sz w:val="48"/>
          <w:szCs w:val="48"/>
          <w:highlight w:val="none"/>
        </w:rPr>
      </w:pPr>
      <w:r>
        <w:rPr>
          <w:rFonts w:hint="eastAsia" w:ascii="宋体" w:hAnsi="宋体" w:eastAsia="宋体" w:cs="宋体"/>
          <w:b/>
          <w:sz w:val="48"/>
          <w:szCs w:val="48"/>
          <w:highlight w:val="none"/>
        </w:rPr>
        <w:t xml:space="preserve">响应文件</w:t>
      </w:r>
      <w:r/>
    </w:p>
    <w:p>
      <w:pPr>
        <w:spacing w:after="60" w:line="50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after="60" w:line="50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ind w:firstLine="240"/>
        <w:spacing w:after="60" w:line="5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240"/>
        <w:spacing w:after="60" w:line="5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2520"/>
        <w:jc w:val="left"/>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标包</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名称：</w:t>
      </w:r>
      <w:r/>
    </w:p>
    <w:p>
      <w:pPr>
        <w:ind w:firstLine="2520"/>
        <w:jc w:val="left"/>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项目编号：</w:t>
      </w:r>
      <w:r/>
    </w:p>
    <w:p>
      <w:pPr>
        <w:spacing w:after="60" w:line="5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after="60" w:line="5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after="60" w:line="5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2160"/>
        <w:spacing w:after="60" w:line="700" w:lineRule="exact"/>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供应商名称：</w:t>
      </w:r>
      <w:r>
        <w:rPr>
          <w:rFonts w:hint="eastAsia" w:ascii="宋体" w:hAnsi="宋体" w:eastAsia="宋体" w:cs="宋体"/>
          <w:bCs/>
          <w:sz w:val="24"/>
          <w:highlight w:val="none"/>
          <w:u w:val="single"/>
        </w:rPr>
        <w:t xml:space="preserve">  （盖公章）    </w:t>
      </w:r>
      <w:r/>
    </w:p>
    <w:p>
      <w:pPr>
        <w:spacing w:after="60" w:line="700" w:lineRule="exact"/>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                  联系人：</w:t>
      </w:r>
      <w:r/>
    </w:p>
    <w:p>
      <w:pPr>
        <w:spacing w:after="60" w:line="700" w:lineRule="exact"/>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                  联系电话：</w:t>
      </w:r>
      <w:r/>
    </w:p>
    <w:p>
      <w:pPr>
        <w:spacing w:after="60" w:line="70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val="en-US" w:eastAsia="zh-CN"/>
        </w:rPr>
        <w:t xml:space="preserve">邮箱：</w:t>
      </w:r>
      <w:r/>
    </w:p>
    <w:p>
      <w:pPr>
        <w:spacing w:after="60" w:line="7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日 期：   年   月   日   </w:t>
      </w:r>
      <w:r/>
    </w:p>
    <w:p>
      <w:pPr>
        <w:spacing w:after="60"/>
        <w:rPr>
          <w:rFonts w:hint="eastAsia" w:ascii="宋体" w:hAnsi="宋体" w:eastAsia="宋体" w:cs="宋体"/>
          <w:bCs/>
          <w:sz w:val="24"/>
          <w:highlight w:val="none"/>
        </w:rPr>
      </w:pPr>
      <w:r>
        <w:rPr>
          <w:rFonts w:hint="eastAsia" w:ascii="宋体" w:hAnsi="宋体" w:eastAsia="宋体" w:cs="宋体"/>
          <w:bCs/>
          <w:sz w:val="24"/>
          <w:highlight w:val="none"/>
        </w:rPr>
      </w:r>
      <w:r/>
    </w:p>
    <w:p>
      <w:pPr>
        <w:spacing w:after="60"/>
        <w:rPr>
          <w:rFonts w:hint="eastAsia" w:ascii="宋体" w:hAnsi="宋体" w:eastAsia="宋体" w:cs="宋体"/>
          <w:bCs/>
          <w:szCs w:val="21"/>
          <w:highlight w:val="none"/>
        </w:rPr>
      </w:pPr>
      <w:r>
        <w:rPr>
          <w:rFonts w:hint="eastAsia" w:ascii="宋体" w:hAnsi="宋体" w:eastAsia="宋体" w:cs="宋体"/>
          <w:bCs/>
          <w:szCs w:val="21"/>
          <w:highlight w:val="none"/>
        </w:rPr>
      </w:r>
      <w:r/>
    </w:p>
    <w:p>
      <w:pPr>
        <w:jc w:val="left"/>
        <w:rPr>
          <w:rFonts w:hint="eastAsia" w:ascii="宋体" w:hAnsi="宋体" w:eastAsia="宋体" w:cs="宋体"/>
          <w:sz w:val="24"/>
          <w:highlight w:val="none"/>
        </w:rPr>
      </w:pPr>
      <w:r>
        <w:rPr>
          <w:rFonts w:hint="eastAsia" w:ascii="宋体" w:hAnsi="宋体" w:eastAsia="宋体" w:cs="宋体"/>
          <w:sz w:val="24"/>
          <w:highlight w:val="none"/>
        </w:rPr>
      </w:r>
      <w:r/>
    </w:p>
    <w:p>
      <w:pPr>
        <w:pStyle w:val="1078"/>
        <w:rPr>
          <w:rFonts w:hint="eastAsia" w:ascii="宋体" w:hAnsi="宋体" w:eastAsia="宋体" w:cs="宋体"/>
          <w:sz w:val="24"/>
          <w:highlight w:val="none"/>
        </w:rPr>
      </w:pPr>
      <w:r>
        <w:rPr>
          <w:rFonts w:hint="eastAsia" w:ascii="宋体" w:hAnsi="宋体" w:eastAsia="宋体" w:cs="宋体"/>
          <w:sz w:val="24"/>
          <w:highlight w:val="none"/>
        </w:rPr>
      </w:r>
      <w:r/>
    </w:p>
    <w:p>
      <w:pPr>
        <w:pStyle w:val="1079"/>
        <w:rPr>
          <w:rFonts w:hint="eastAsia" w:ascii="宋体" w:hAnsi="宋体" w:eastAsia="宋体" w:cs="宋体"/>
          <w:sz w:val="24"/>
          <w:highlight w:val="none"/>
        </w:rPr>
      </w:pPr>
      <w:r>
        <w:rPr>
          <w:rFonts w:hint="eastAsia" w:ascii="宋体" w:hAnsi="宋体" w:eastAsia="宋体" w:cs="宋体"/>
          <w:sz w:val="24"/>
          <w:highlight w:val="none"/>
        </w:rPr>
      </w:r>
      <w:r/>
    </w:p>
    <w:p>
      <w:pPr>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磋商报价表</w:t>
      </w:r>
      <w:r/>
    </w:p>
    <w:p>
      <w:pPr>
        <w:jc w:val="center"/>
        <w:spacing w:after="120"/>
        <w:rPr>
          <w:rFonts w:hint="eastAsia" w:ascii="宋体" w:hAnsi="宋体" w:eastAsia="宋体" w:cs="宋体"/>
          <w:b/>
          <w:bCs/>
          <w:color w:val="ff0000"/>
          <w:sz w:val="28"/>
          <w:szCs w:val="28"/>
          <w:highlight w:val="none"/>
        </w:rPr>
      </w:pPr>
      <w:r>
        <w:rPr>
          <w:rFonts w:hint="eastAsia" w:ascii="宋体" w:hAnsi="宋体" w:eastAsia="宋体" w:cs="宋体"/>
          <w:b/>
          <w:bCs/>
          <w:color w:val="ff0000"/>
          <w:sz w:val="28"/>
          <w:szCs w:val="28"/>
          <w:highlight w:val="none"/>
        </w:rPr>
        <w:t xml:space="preserve">磋商报价表</w:t>
      </w:r>
      <w:r/>
    </w:p>
    <w:p>
      <w:pPr>
        <w:jc w:val="left"/>
        <w:spacing w:line="500" w:lineRule="exact"/>
        <w:rPr>
          <w:rFonts w:hint="eastAsia" w:ascii="宋体" w:hAnsi="宋体" w:eastAsia="宋体" w:cs="宋体"/>
          <w:sz w:val="28"/>
          <w:szCs w:val="28"/>
          <w:highlight w:val="none"/>
        </w:rPr>
      </w:pPr>
      <w:r>
        <w:rPr>
          <w:rFonts w:hint="eastAsia" w:ascii="宋体" w:hAnsi="宋体" w:eastAsia="宋体" w:cs="宋体"/>
          <w:b/>
          <w:bCs/>
          <w:color w:val="ff0000"/>
          <w:sz w:val="28"/>
          <w:szCs w:val="28"/>
          <w:highlight w:val="none"/>
        </w:rPr>
        <w:t xml:space="preserve">按“江苏省政府采购管理交易系统（苏采云）”中格式填写。</w:t>
      </w:r>
      <w:r/>
    </w:p>
    <w:p>
      <w:pPr>
        <w:spacing w:before="156" w:line="360" w:lineRule="auto"/>
        <w:rPr>
          <w:rFonts w:hint="eastAsia" w:ascii="宋体" w:hAnsi="宋体" w:eastAsia="宋体" w:cs="宋体"/>
          <w:szCs w:val="21"/>
          <w:highlight w:val="none"/>
        </w:rPr>
      </w:pPr>
      <w:r>
        <w:rPr>
          <w:rFonts w:hint="eastAsia" w:ascii="宋体" w:hAnsi="宋体" w:eastAsia="宋体" w:cs="宋体"/>
          <w:sz w:val="28"/>
          <w:szCs w:val="28"/>
          <w:highlight w:val="none"/>
        </w:rPr>
        <w:br w:type="page" w:clear="all"/>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响应函</w:t>
      </w:r>
      <w:r/>
    </w:p>
    <w:p>
      <w:pPr>
        <w:jc w:val="center"/>
        <w:spacing w:line="5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响 应 函</w:t>
      </w:r>
      <w:r/>
    </w:p>
    <w:p>
      <w:pPr>
        <w:ind w:firstLine="560"/>
        <w:jc w:val="center"/>
        <w:spacing w:line="360" w:lineRule="exact"/>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致</w:t>
      </w:r>
      <w:r>
        <w:rPr>
          <w:rFonts w:hint="eastAsia" w:ascii="宋体" w:hAnsi="宋体" w:cs="宋体"/>
          <w:bCs/>
          <w:sz w:val="24"/>
          <w:szCs w:val="24"/>
          <w:highlight w:val="none"/>
          <w:lang w:eastAsia="zh-CN"/>
        </w:rPr>
        <w:t xml:space="preserve">泰兴市宣堡镇人民政府</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我方收到贵方编号</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采购文件，经仔细阅读和研究，我方决定参加此项目的报价。</w:t>
      </w:r>
      <w:r/>
    </w:p>
    <w:p>
      <w:pPr>
        <w:numPr>
          <w:ilvl w:val="0"/>
          <w:numId w:val="2"/>
        </w:numPr>
        <w:ind w:left="0" w:firstLine="525"/>
        <w:spacing w:line="360" w:lineRule="auto"/>
        <w:tabs>
          <w:tab w:val="left" w:pos="315" w:leader="none"/>
          <w:tab w:val="left" w:pos="735" w:leader="none"/>
          <w:tab w:val="left" w:pos="840"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我方愿意按照采购文件的一切要求，提供本项目的报价，总报价见《磋商报价表》。</w:t>
      </w:r>
      <w:r/>
    </w:p>
    <w:p>
      <w:pPr>
        <w:numPr>
          <w:ilvl w:val="0"/>
          <w:numId w:val="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47"/>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我方愿意提供</w:t>
      </w:r>
      <w:r>
        <w:rPr>
          <w:rFonts w:hint="eastAsia" w:ascii="宋体" w:hAnsi="宋体" w:cs="宋体"/>
          <w:bCs/>
          <w:sz w:val="24"/>
          <w:szCs w:val="24"/>
          <w:highlight w:val="none"/>
          <w:lang w:eastAsia="zh-CN"/>
        </w:rPr>
        <w:t xml:space="preserve">泰州诚兴项目管理有限公司</w:t>
      </w:r>
      <w:r>
        <w:rPr>
          <w:rFonts w:hint="eastAsia" w:ascii="宋体" w:hAnsi="宋体" w:eastAsia="宋体" w:cs="宋体"/>
          <w:bCs/>
          <w:sz w:val="24"/>
          <w:szCs w:val="24"/>
          <w:highlight w:val="none"/>
        </w:rPr>
        <w:t xml:space="preserve">在采购文件中要求的文件、资料。</w:t>
      </w:r>
      <w:r/>
    </w:p>
    <w:p>
      <w:pPr>
        <w:numPr>
          <w:ilvl w:val="0"/>
          <w:numId w:val="2"/>
        </w:numPr>
        <w:ind w:left="0" w:firstLine="523"/>
        <w:spacing w:line="360" w:lineRule="auto"/>
        <w:tabs>
          <w:tab w:val="left" w:pos="0" w:leader="none"/>
          <w:tab w:val="left" w:pos="315" w:leader="none"/>
          <w:tab w:val="left" w:pos="525" w:leader="none"/>
          <w:tab w:val="left" w:pos="630"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我方同意按采购文件中的规定，本响应文件报价的有效期限为报价截止之日起</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0天。</w:t>
      </w:r>
      <w:r/>
    </w:p>
    <w:p>
      <w:pPr>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如果我方的响应文件被接受，我方将履行采购文件中规定的每一项要求，按期、按质、按量，完成采购文件要求的所有工作内容。</w:t>
      </w:r>
      <w:r/>
    </w:p>
    <w:p>
      <w:pPr>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我方愿意遵守《中华人民共和国政府采购法》，并按《中华人民共和国民法典》和合同条款履行自己的全部责任。</w:t>
      </w:r>
      <w:r/>
    </w:p>
    <w:p>
      <w:pPr>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我方认可并保证遵守采购文件的所有规定，放弃对采购文件提出质疑的权利。</w:t>
      </w:r>
      <w:r/>
    </w:p>
    <w:p>
      <w:pPr>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如果我方被确定为成交供应商，我方愿意</w:t>
      </w:r>
      <w:r>
        <w:rPr>
          <w:rFonts w:hint="eastAsia" w:ascii="宋体" w:hAnsi="宋体" w:eastAsia="宋体" w:cs="宋体"/>
          <w:sz w:val="24"/>
          <w:szCs w:val="24"/>
          <w:highlight w:val="none"/>
        </w:rPr>
        <w:t xml:space="preserve">按照要求缴纳履约保证金</w:t>
      </w:r>
      <w:r>
        <w:rPr>
          <w:rFonts w:hint="eastAsia" w:ascii="宋体" w:hAnsi="宋体" w:eastAsia="宋体" w:cs="宋体"/>
          <w:bCs/>
          <w:sz w:val="24"/>
          <w:szCs w:val="24"/>
          <w:highlight w:val="none"/>
        </w:rPr>
        <w:t xml:space="preserve">。且我方如无不可抗力，又未履行采购文件、响应文件和合同条款的，一经查实，我方愿意赔偿由此而造成的一切损失，并同意接受按采购文件的相关要求对我方进行的处理。</w:t>
      </w:r>
      <w:r/>
    </w:p>
    <w:p>
      <w:pPr>
        <w:ind w:firstLine="7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供应商名称（盖章）：</w:t>
      </w:r>
      <w:r/>
    </w:p>
    <w:p>
      <w:pPr>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法定代表人（签字或盖章）：</w:t>
      </w:r>
      <w:r/>
    </w:p>
    <w:p>
      <w:pPr>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电话：                              传真：</w:t>
      </w:r>
      <w:r/>
    </w:p>
    <w:p>
      <w:pPr>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通讯地址：                          邮编：</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邮箱：</w:t>
      </w:r>
      <w:r/>
    </w:p>
    <w:p>
      <w:pPr>
        <w:jc w:val="center"/>
        <w:rPr>
          <w:rFonts w:hint="eastAsia" w:ascii="宋体" w:hAnsi="宋体" w:eastAsia="宋体" w:cs="宋体"/>
          <w:highlight w:val="none"/>
        </w:rPr>
      </w:pPr>
      <w:r>
        <w:rPr>
          <w:rFonts w:hint="eastAsia" w:ascii="宋体" w:hAnsi="宋体" w:eastAsia="宋体" w:cs="宋体"/>
          <w:b/>
          <w:bCs/>
          <w:szCs w:val="21"/>
          <w:highlight w:val="none"/>
        </w:rPr>
        <w:br w:type="page" w:clear="all"/>
      </w:r>
      <w:r>
        <w:rPr>
          <w:rFonts w:hint="eastAsia" w:ascii="宋体" w:hAnsi="宋体" w:eastAsia="宋体" w:cs="宋体"/>
          <w:bCs/>
          <w:sz w:val="28"/>
          <w:szCs w:val="28"/>
          <w:highlight w:val="none"/>
        </w:rPr>
        <w:t xml:space="preserve">响应函附录</w:t>
      </w:r>
      <w:r/>
    </w:p>
    <w:p>
      <w:pPr>
        <w:pStyle w:val="1338"/>
        <w:rPr>
          <w:rFonts w:hint="eastAsia" w:ascii="宋体" w:hAnsi="宋体" w:eastAsia="宋体" w:cs="宋体"/>
          <w:highlight w:val="none"/>
        </w:rPr>
      </w:pPr>
      <w:r>
        <w:rPr>
          <w:rFonts w:hint="eastAsia" w:ascii="宋体" w:hAnsi="宋体" w:eastAsia="宋体" w:cs="宋体"/>
          <w:highlight w:val="none"/>
        </w:rPr>
      </w:r>
      <w:r/>
    </w:p>
    <w:tbl>
      <w:tblPr>
        <w:tblStyle w:val="881"/>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21"/>
        <w:gridCol w:w="5589"/>
      </w:tblGrid>
      <w:tr>
        <w:trPr>
          <w:jc w:val="center"/>
          <w:trHeight w:val="966"/>
        </w:trPr>
        <w:tc>
          <w:tcPr>
            <w:tcW w:w="847"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521"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标包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名称</w:t>
            </w:r>
            <w:r/>
          </w:p>
        </w:tc>
        <w:tc>
          <w:tcPr>
            <w:tcW w:w="558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sz w:val="24"/>
                <w:szCs w:val="24"/>
                <w:highlight w:val="none"/>
                <w:lang w:eastAsia="zh-CN"/>
              </w:rPr>
              <w:t xml:space="preserve">泰兴市宣堡镇光明路维修改造工程</w:t>
            </w:r>
            <w:r/>
          </w:p>
        </w:tc>
      </w:tr>
      <w:tr>
        <w:trPr>
          <w:jc w:val="center"/>
          <w:trHeight w:val="630"/>
        </w:trPr>
        <w:tc>
          <w:tcPr>
            <w:tcW w:w="847"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521"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p>
        </w:tc>
        <w:tc>
          <w:tcPr>
            <w:tcW w:w="5589" w:type="dxa"/>
            <w:vAlign w:val="center"/>
            <w:textDirection w:val="lrTb"/>
            <w:noWrap w:val="false"/>
          </w:tcPr>
          <w:p>
            <w:pPr>
              <w:jc w:val="center"/>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jc w:val="center"/>
          <w:trHeight w:val="630"/>
        </w:trPr>
        <w:tc>
          <w:tcPr>
            <w:tcW w:w="847"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521"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投标总报价</w:t>
            </w:r>
            <w:r/>
          </w:p>
        </w:tc>
        <w:tc>
          <w:tcPr>
            <w:tcW w:w="5589"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以苏采云系统中提交的最终报价为准</w:t>
            </w:r>
            <w:r/>
          </w:p>
        </w:tc>
      </w:tr>
      <w:tr>
        <w:trPr>
          <w:jc w:val="center"/>
          <w:trHeight w:val="630"/>
        </w:trPr>
        <w:tc>
          <w:tcPr>
            <w:tcW w:w="847"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521"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拟派项目负责人</w:t>
            </w:r>
            <w:r/>
          </w:p>
        </w:tc>
        <w:tc>
          <w:tcPr>
            <w:tcW w:w="5589"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r>
      <w:tr>
        <w:trPr>
          <w:jc w:val="center"/>
          <w:trHeight w:val="630"/>
        </w:trPr>
        <w:tc>
          <w:tcPr>
            <w:tcW w:w="847"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521"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合同履行期限</w:t>
            </w:r>
            <w:r/>
          </w:p>
        </w:tc>
        <w:tc>
          <w:tcPr>
            <w:tcW w:w="5589" w:type="dxa"/>
            <w:vAlign w:val="center"/>
            <w:textDirection w:val="lrTb"/>
            <w:noWrap w:val="false"/>
          </w:tcPr>
          <w:p>
            <w:pPr>
              <w:jc w:val="center"/>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日历天</w:t>
            </w:r>
            <w:r/>
          </w:p>
        </w:tc>
      </w:tr>
      <w:tr>
        <w:trPr>
          <w:jc w:val="center"/>
          <w:trHeight w:val="630"/>
        </w:trPr>
        <w:tc>
          <w:tcPr>
            <w:tcW w:w="847"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2521"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质量标准</w:t>
            </w:r>
            <w:r/>
          </w:p>
        </w:tc>
        <w:tc>
          <w:tcPr>
            <w:tcW w:w="5589" w:type="dxa"/>
            <w:vAlign w:val="center"/>
            <w:textDirection w:val="lrTb"/>
            <w:noWrap w:val="false"/>
          </w:tcPr>
          <w:p>
            <w:pPr>
              <w:jc w:val="center"/>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合格</w:t>
            </w:r>
            <w:r/>
          </w:p>
        </w:tc>
      </w:tr>
    </w:tbl>
    <w:p>
      <w:pPr>
        <w:ind w:firstLine="48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        （盖章）</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p>
    <w:p>
      <w:pPr>
        <w:jc w:val="left"/>
        <w:widowControl/>
        <w:rPr>
          <w:rFonts w:hint="eastAsia" w:ascii="宋体" w:hAnsi="宋体" w:eastAsia="宋体" w:cs="宋体"/>
          <w:sz w:val="28"/>
          <w:szCs w:val="28"/>
          <w:highlight w:val="none"/>
        </w:rPr>
        <w:outlineLvl w:val="2"/>
      </w:pPr>
      <w:r>
        <w:rPr>
          <w:rFonts w:hint="eastAsia" w:ascii="宋体" w:hAnsi="宋体" w:eastAsia="宋体" w:cs="宋体"/>
          <w:b/>
          <w:bCs/>
          <w:szCs w:val="21"/>
          <w:highlight w:val="none"/>
        </w:rPr>
        <w:br w:type="page" w:clear="all"/>
      </w:r>
      <w:bookmarkStart w:id="586" w:name="_Toc30865"/>
      <w:r>
        <w:rPr>
          <w:rFonts w:hint="eastAsia" w:ascii="宋体" w:hAnsi="宋体" w:eastAsia="宋体" w:cs="宋体"/>
          <w:sz w:val="28"/>
          <w:szCs w:val="28"/>
          <w:highlight w:val="none"/>
        </w:rPr>
        <w:t xml:space="preserve">3.4供应商基本资格条件承诺书</w:t>
      </w:r>
      <w:bookmarkEnd w:id="586"/>
      <w:r/>
      <w:r/>
    </w:p>
    <w:p>
      <w:pPr>
        <w:jc w:val="center"/>
        <w:rPr>
          <w:rFonts w:hint="eastAsia" w:ascii="宋体" w:hAnsi="宋体" w:eastAsia="宋体" w:cs="宋体"/>
          <w:b/>
          <w:color w:val="0d0d0d"/>
          <w:sz w:val="30"/>
          <w:szCs w:val="30"/>
          <w:highlight w:val="none"/>
        </w:rPr>
        <w:outlineLvl w:val="4"/>
      </w:pPr>
      <w:r>
        <w:rPr>
          <w:rFonts w:hint="eastAsia" w:ascii="宋体" w:hAnsi="宋体" w:eastAsia="宋体" w:cs="宋体"/>
          <w:b/>
          <w:color w:val="0d0d0d"/>
          <w:sz w:val="30"/>
          <w:szCs w:val="30"/>
          <w:highlight w:val="none"/>
        </w:rPr>
      </w:r>
      <w:r/>
    </w:p>
    <w:p>
      <w:pPr>
        <w:jc w:val="center"/>
        <w:rPr>
          <w:rFonts w:hint="eastAsia" w:ascii="宋体" w:hAnsi="宋体" w:eastAsia="宋体" w:cs="宋体"/>
          <w:b/>
          <w:color w:val="0d0d0d"/>
          <w:sz w:val="30"/>
          <w:szCs w:val="30"/>
          <w:highlight w:val="none"/>
        </w:rPr>
        <w:outlineLvl w:val="4"/>
      </w:pPr>
      <w:r>
        <w:rPr>
          <w:rFonts w:hint="eastAsia" w:ascii="宋体" w:hAnsi="宋体" w:eastAsia="宋体" w:cs="宋体"/>
          <w:b/>
          <w:color w:val="0d0d0d"/>
          <w:sz w:val="30"/>
          <w:szCs w:val="30"/>
          <w:highlight w:val="none"/>
        </w:rPr>
        <w:t xml:space="preserve">供应商基本资格条件承诺书</w:t>
      </w:r>
      <w:r/>
    </w:p>
    <w:p>
      <w:pPr>
        <w:ind w:firstLine="560"/>
        <w:spacing w:line="560" w:lineRule="exact"/>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rPr>
        <w:t xml:space="preserve">一、按照《政府采购法》第二十二条规定的供应商基本资格条件，我公司郑重承诺如下：</w:t>
      </w:r>
      <w:r/>
    </w:p>
    <w:p>
      <w:pPr>
        <w:ind w:firstLine="560"/>
        <w:spacing w:line="560" w:lineRule="exact"/>
        <w:rPr>
          <w:rFonts w:hint="eastAsia" w:ascii="宋体" w:hAnsi="宋体" w:eastAsia="宋体" w:cs="宋体"/>
          <w:color w:val="0d0d0d"/>
          <w:sz w:val="24"/>
          <w:szCs w:val="24"/>
          <w:highlight w:val="none"/>
          <w:shd w:val="clear" w:color="auto" w:fill="ffffff"/>
        </w:rPr>
      </w:pPr>
      <w:r>
        <w:rPr>
          <w:rFonts w:hint="eastAsia" w:ascii="宋体" w:hAnsi="宋体" w:eastAsia="宋体" w:cs="宋体"/>
          <w:color w:val="0d0d0d"/>
          <w:sz w:val="24"/>
          <w:szCs w:val="24"/>
          <w:highlight w:val="none"/>
        </w:rPr>
        <w:t xml:space="preserve">1.我公司具有</w:t>
      </w:r>
      <w:r>
        <w:rPr>
          <w:rFonts w:hint="eastAsia" w:ascii="宋体" w:hAnsi="宋体" w:eastAsia="宋体" w:cs="宋体"/>
          <w:color w:val="0d0d0d"/>
          <w:sz w:val="24"/>
          <w:szCs w:val="24"/>
          <w:highlight w:val="none"/>
          <w:shd w:val="clear" w:color="auto" w:fill="ffffff"/>
        </w:rPr>
        <w:t xml:space="preserve">良好的商业信誉和健全的财务制度；</w:t>
      </w:r>
      <w:r/>
    </w:p>
    <w:p>
      <w:pPr>
        <w:ind w:firstLine="560"/>
        <w:spacing w:line="560" w:lineRule="exact"/>
        <w:rPr>
          <w:rFonts w:hint="eastAsia" w:ascii="宋体" w:hAnsi="宋体" w:eastAsia="宋体" w:cs="宋体"/>
          <w:color w:val="0d0d0d"/>
          <w:sz w:val="24"/>
          <w:szCs w:val="24"/>
          <w:highlight w:val="none"/>
          <w:shd w:val="clear" w:color="auto" w:fill="ffffff"/>
        </w:rPr>
      </w:pPr>
      <w:r>
        <w:rPr>
          <w:rFonts w:hint="eastAsia" w:ascii="宋体" w:hAnsi="宋体" w:eastAsia="宋体" w:cs="宋体"/>
          <w:color w:val="0d0d0d"/>
          <w:sz w:val="24"/>
          <w:szCs w:val="24"/>
          <w:highlight w:val="none"/>
          <w:shd w:val="clear" w:color="auto" w:fill="ffffff"/>
        </w:rPr>
        <w:t xml:space="preserve">2.我公司具有履行合同所必须的设备和专业技术能力；</w:t>
      </w:r>
      <w:r/>
    </w:p>
    <w:p>
      <w:pPr>
        <w:ind w:firstLine="560"/>
        <w:spacing w:line="560" w:lineRule="exact"/>
        <w:rPr>
          <w:rFonts w:hint="eastAsia" w:ascii="宋体" w:hAnsi="宋体" w:eastAsia="宋体" w:cs="宋体"/>
          <w:color w:val="0d0d0d"/>
          <w:sz w:val="24"/>
          <w:szCs w:val="24"/>
          <w:highlight w:val="none"/>
          <w:shd w:val="clear" w:color="auto" w:fill="ffffff"/>
        </w:rPr>
      </w:pPr>
      <w:r>
        <w:rPr>
          <w:rFonts w:hint="eastAsia" w:ascii="宋体" w:hAnsi="宋体" w:eastAsia="宋体" w:cs="宋体"/>
          <w:color w:val="0d0d0d"/>
          <w:sz w:val="24"/>
          <w:szCs w:val="24"/>
          <w:highlight w:val="none"/>
          <w:shd w:val="clear" w:color="auto" w:fill="ffffff"/>
        </w:rPr>
        <w:t xml:space="preserve">3.我公司具有依法缴纳税收和社会保障资金的良好记录；</w:t>
      </w:r>
      <w:r/>
    </w:p>
    <w:p>
      <w:pPr>
        <w:ind w:firstLine="560"/>
        <w:spacing w:line="560" w:lineRule="exact"/>
        <w:rPr>
          <w:rFonts w:hint="eastAsia" w:ascii="宋体" w:hAnsi="宋体" w:eastAsia="宋体" w:cs="宋体"/>
          <w:color w:val="0d0d0d"/>
          <w:sz w:val="24"/>
          <w:szCs w:val="24"/>
          <w:highlight w:val="none"/>
          <w:shd w:val="clear" w:color="auto" w:fill="ffffff"/>
        </w:rPr>
      </w:pPr>
      <w:r>
        <w:rPr>
          <w:rFonts w:hint="eastAsia" w:ascii="宋体" w:hAnsi="宋体" w:eastAsia="宋体" w:cs="宋体"/>
          <w:color w:val="0d0d0d"/>
          <w:sz w:val="24"/>
          <w:szCs w:val="24"/>
          <w:highlight w:val="none"/>
          <w:shd w:val="clear" w:color="auto" w:fill="ffffff"/>
        </w:rPr>
        <w:t xml:space="preserve">4.我公司参加政府采购活动前三年内，在经营活动中没有重大违法记录；</w:t>
      </w:r>
      <w:r/>
    </w:p>
    <w:p>
      <w:pPr>
        <w:ind w:firstLine="560"/>
        <w:spacing w:line="560" w:lineRule="exact"/>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宋体" w:hAnsi="宋体" w:eastAsia="宋体" w:cs="宋体"/>
          <w:color w:val="0d0d0d"/>
          <w:sz w:val="24"/>
          <w:szCs w:val="24"/>
          <w:highlight w:val="none"/>
        </w:rPr>
        <w:t xml:space="preserve">。</w:t>
      </w:r>
      <w:r/>
    </w:p>
    <w:p>
      <w:pPr>
        <w:ind w:firstLine="560"/>
        <w:spacing w:line="560" w:lineRule="exact"/>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shd w:val="clear" w:color="auto" w:fill="ffffff"/>
        </w:rPr>
        <w:t xml:space="preserve">二、</w:t>
      </w:r>
      <w:r>
        <w:rPr>
          <w:rFonts w:hint="eastAsia" w:ascii="宋体" w:hAnsi="宋体" w:eastAsia="宋体" w:cs="宋体"/>
          <w:color w:val="0d0d0d"/>
          <w:sz w:val="24"/>
          <w:szCs w:val="24"/>
          <w:highlight w:val="none"/>
        </w:rPr>
        <w:t xml:space="preserve">我公司承诺：在本次响应过程中，我公司不存在本项目采购文件第二章第1.4.</w:t>
      </w:r>
      <w:r>
        <w:rPr>
          <w:rFonts w:hint="eastAsia" w:ascii="宋体" w:hAnsi="宋体" w:eastAsia="宋体" w:cs="宋体"/>
          <w:color w:val="0d0d0d"/>
          <w:sz w:val="24"/>
          <w:szCs w:val="24"/>
          <w:highlight w:val="none"/>
          <w:lang w:val="en-US" w:eastAsia="zh-CN"/>
        </w:rPr>
        <w:t xml:space="preserve">4</w:t>
      </w:r>
      <w:r>
        <w:rPr>
          <w:rFonts w:hint="eastAsia" w:ascii="宋体" w:hAnsi="宋体" w:eastAsia="宋体" w:cs="宋体"/>
          <w:color w:val="0d0d0d"/>
          <w:sz w:val="24"/>
          <w:szCs w:val="24"/>
          <w:highlight w:val="none"/>
        </w:rPr>
        <w:t xml:space="preserve">条所列情形之一。</w:t>
      </w:r>
      <w:r/>
    </w:p>
    <w:p>
      <w:pPr>
        <w:ind w:firstLine="3920"/>
        <w:spacing w:before="163" w:line="560" w:lineRule="exact"/>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rPr>
      </w:r>
      <w:r/>
    </w:p>
    <w:p>
      <w:pPr>
        <w:ind w:firstLine="3920"/>
        <w:spacing w:before="163" w:line="560" w:lineRule="exact"/>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rPr>
        <w:t xml:space="preserve">供应商名称(盖</w:t>
      </w:r>
      <w:r>
        <w:rPr>
          <w:rFonts w:hint="eastAsia" w:ascii="宋体" w:hAnsi="宋体" w:cs="宋体"/>
          <w:color w:val="0d0d0d"/>
          <w:sz w:val="24"/>
          <w:szCs w:val="24"/>
          <w:highlight w:val="none"/>
          <w:lang w:eastAsia="zh-CN"/>
        </w:rPr>
        <w:t xml:space="preserve">公</w:t>
      </w:r>
      <w:r>
        <w:rPr>
          <w:rFonts w:hint="eastAsia" w:ascii="宋体" w:hAnsi="宋体" w:eastAsia="宋体" w:cs="宋体"/>
          <w:color w:val="0d0d0d"/>
          <w:sz w:val="24"/>
          <w:szCs w:val="24"/>
          <w:highlight w:val="none"/>
        </w:rPr>
        <w:t xml:space="preserve">章)：</w:t>
      </w:r>
      <w:r/>
    </w:p>
    <w:p>
      <w:pPr>
        <w:ind w:firstLine="3920"/>
        <w:spacing w:before="163" w:line="560" w:lineRule="exact"/>
        <w:rPr>
          <w:rFonts w:hint="eastAsia" w:ascii="宋体" w:hAnsi="宋体" w:eastAsia="宋体" w:cs="宋体"/>
          <w:color w:val="0d0d0d"/>
          <w:sz w:val="24"/>
          <w:szCs w:val="24"/>
          <w:highlight w:val="none"/>
          <w:u w:val="single"/>
        </w:rPr>
      </w:pPr>
      <w:r>
        <w:rPr>
          <w:rFonts w:hint="eastAsia" w:ascii="宋体" w:hAnsi="宋体" w:eastAsia="宋体" w:cs="宋体"/>
          <w:color w:val="0d0d0d"/>
          <w:sz w:val="24"/>
          <w:szCs w:val="24"/>
          <w:highlight w:val="none"/>
        </w:rPr>
        <w:t xml:space="preserve">法定代表人 (签字或签章)：</w:t>
      </w:r>
      <w:r/>
    </w:p>
    <w:p>
      <w:pPr>
        <w:ind w:firstLine="3920"/>
        <w:spacing w:before="163" w:line="560" w:lineRule="exact"/>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rPr>
        <w:t xml:space="preserve">日期： 年  月  日</w:t>
      </w:r>
      <w:r/>
    </w:p>
    <w:p>
      <w:pPr>
        <w:spacing w:before="156" w:line="360" w:lineRule="auto"/>
        <w:rPr>
          <w:rFonts w:hint="eastAsia" w:ascii="宋体" w:hAnsi="宋体" w:eastAsia="宋体" w:cs="宋体"/>
          <w:sz w:val="28"/>
          <w:szCs w:val="28"/>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中小企业声明函、监狱企业证明、残疾人福利性单位声明函格式</w:t>
      </w:r>
      <w:r/>
    </w:p>
    <w:p>
      <w:pPr>
        <w:pStyle w:val="1172"/>
        <w:ind w:firstLine="602"/>
        <w:jc w:val="center"/>
        <w:spacing w:line="40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中小企业声明函（工程）</w:t>
      </w:r>
      <w:r/>
    </w:p>
    <w:p>
      <w:pPr>
        <w:pStyle w:val="1172"/>
        <w:ind w:firstLine="48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（注：符合条件的请提供本函，不符合的不提供本函）</w:t>
      </w:r>
      <w:r/>
    </w:p>
    <w:p>
      <w:pPr>
        <w:pStyle w:val="1172"/>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72"/>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w:t>
      </w:r>
      <w:r>
        <w:rPr>
          <w:rFonts w:hint="eastAsia" w:ascii="宋体" w:hAnsi="宋体" w:eastAsia="宋体" w:cs="宋体"/>
          <w:sz w:val="24"/>
          <w:szCs w:val="24"/>
          <w:highlight w:val="none"/>
          <w:lang w:val="en-US" w:eastAsia="zh-CN"/>
        </w:rPr>
        <w:t xml:space="preserve">微</w:t>
      </w:r>
      <w:r>
        <w:rPr>
          <w:rFonts w:hint="eastAsia" w:ascii="宋体" w:hAnsi="宋体" w:eastAsia="宋体" w:cs="宋体"/>
          <w:sz w:val="24"/>
          <w:szCs w:val="24"/>
          <w:highlight w:val="none"/>
        </w:rPr>
        <w:t xml:space="preserve">企业（或者：服务全部由符合政策要求的中小</w:t>
      </w:r>
      <w:r>
        <w:rPr>
          <w:rFonts w:hint="eastAsia" w:ascii="宋体" w:hAnsi="宋体" w:eastAsia="宋体" w:cs="宋体"/>
          <w:sz w:val="24"/>
          <w:szCs w:val="24"/>
          <w:highlight w:val="none"/>
          <w:lang w:val="en-US" w:eastAsia="zh-CN"/>
        </w:rPr>
        <w:t xml:space="preserve">微</w:t>
      </w:r>
      <w:r>
        <w:rPr>
          <w:rFonts w:hint="eastAsia" w:ascii="宋体" w:hAnsi="宋体" w:eastAsia="宋体" w:cs="宋体"/>
          <w:sz w:val="24"/>
          <w:szCs w:val="24"/>
          <w:highlight w:val="none"/>
        </w:rPr>
        <w:t xml:space="preserve">企业承接）。相关企业（含联合体中的中小企业、签订分包意向协议的中小企业）的具体情况如下：</w:t>
      </w:r>
      <w:r/>
    </w:p>
    <w:p>
      <w:pPr>
        <w:pStyle w:val="1172"/>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u w:val="single"/>
        </w:rPr>
        <w:t xml:space="preserve">（标的名称）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p>
    <w:p>
      <w:pPr>
        <w:pStyle w:val="1172"/>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（标的名称）</w:t>
      </w:r>
      <w:r>
        <w:rPr>
          <w:rFonts w:hint="eastAsia" w:ascii="宋体" w:hAnsi="宋体" w:eastAsia="宋体" w:cs="宋体"/>
          <w:sz w:val="24"/>
          <w:szCs w:val="24"/>
          <w:highlight w:val="none"/>
        </w:rPr>
        <w:t xml:space="preserve"> ，属于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p>
    <w:p>
      <w:pPr>
        <w:pStyle w:val="1172"/>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pStyle w:val="1172"/>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pStyle w:val="1172"/>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1172"/>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72"/>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企业名称（盖章）：</w:t>
      </w:r>
      <w:r/>
    </w:p>
    <w:p>
      <w:pPr>
        <w:pStyle w:val="1172"/>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pStyle w:val="1172"/>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7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1 从业人员、营业收入、资产总额填报上一年度数据，无上一年度数据的新成立企业可不填报。</w:t>
      </w:r>
      <w:r/>
    </w:p>
    <w:p>
      <w:pPr>
        <w:pStyle w:val="1172"/>
        <w:ind w:firstLine="4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2、中小企业划分标准详见“工信部联企业〔2011〕300号通知中的《中小企业划型标准规定》。</w:t>
      </w:r>
      <w:r/>
    </w:p>
    <w:p>
      <w:pPr>
        <w:ind w:firstLine="4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3、中标、成交供应商享受中小企业扶持政策的，采购人、采购代理机构应当随中标、成交结果公开中标、成交产品制造商的《中小企业声明函》。</w:t>
      </w:r>
      <w:r/>
    </w:p>
    <w:p>
      <w:pPr>
        <w:ind w:firstLine="40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4、供应商提供的声明函内容不实的，属于提供虚假材料谋取中标、成交，依照《中华人民共和国政府采购法》等国家有关规定追究相应责任。</w:t>
      </w:r>
      <w:r/>
    </w:p>
    <w:p>
      <w:pPr>
        <w:spacing w:line="400" w:lineRule="exact"/>
        <w:rPr>
          <w:rFonts w:hint="eastAsia" w:ascii="宋体" w:hAnsi="宋体" w:eastAsia="宋体" w:cs="宋体"/>
          <w:sz w:val="32"/>
          <w:szCs w:val="32"/>
          <w:highlight w:val="none"/>
        </w:rPr>
        <w:outlineLvl w:val="2"/>
      </w:pPr>
      <w:r>
        <w:rPr>
          <w:rFonts w:hint="eastAsia" w:ascii="宋体" w:hAnsi="宋体" w:eastAsia="宋体" w:cs="宋体"/>
          <w:sz w:val="32"/>
          <w:szCs w:val="32"/>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76"/>
        <w:rPr>
          <w:rFonts w:hint="eastAsia" w:ascii="宋体" w:hAnsi="宋体" w:eastAsia="宋体" w:cs="宋体"/>
          <w:highlight w:val="none"/>
        </w:rPr>
      </w:pPr>
      <w:r>
        <w:rPr>
          <w:rFonts w:hint="eastAsia" w:ascii="宋体" w:hAnsi="宋体" w:eastAsia="宋体" w:cs="宋体"/>
          <w:highlight w:val="none"/>
        </w:rPr>
      </w:r>
      <w:r/>
    </w:p>
    <w:p>
      <w:pPr>
        <w:jc w:val="center"/>
        <w:spacing w:line="400" w:lineRule="exact"/>
        <w:rPr>
          <w:rFonts w:hint="eastAsia" w:ascii="宋体" w:hAnsi="宋体" w:eastAsia="宋体" w:cs="宋体"/>
          <w:b/>
          <w:bCs/>
          <w:sz w:val="32"/>
          <w:szCs w:val="32"/>
          <w:highlight w:val="none"/>
          <w:lang w:val="en-US" w:eastAsia="zh-CN"/>
        </w:rPr>
        <w:outlineLvl w:val="2"/>
      </w:pPr>
      <w:r/>
      <w:bookmarkStart w:id="587" w:name="_Toc18269"/>
      <w:r>
        <w:rPr>
          <w:rFonts w:hint="eastAsia" w:ascii="宋体" w:hAnsi="宋体" w:eastAsia="宋体" w:cs="宋体"/>
          <w:b/>
          <w:bCs/>
          <w:sz w:val="32"/>
          <w:szCs w:val="32"/>
          <w:highlight w:val="none"/>
        </w:rPr>
        <w:t xml:space="preserve">监狱和戒毒企业（监狱企业）</w:t>
      </w:r>
      <w:r>
        <w:rPr>
          <w:rFonts w:hint="eastAsia" w:ascii="宋体" w:hAnsi="宋体" w:eastAsia="宋体" w:cs="宋体"/>
          <w:b/>
          <w:bCs/>
          <w:sz w:val="32"/>
          <w:szCs w:val="32"/>
          <w:highlight w:val="none"/>
          <w:lang w:val="en-US" w:eastAsia="zh-CN"/>
        </w:rPr>
        <w:t xml:space="preserve">证明</w:t>
      </w:r>
      <w:bookmarkEnd w:id="587"/>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（注：符合条件的监狱企业请提供，不符合的不提供）</w:t>
      </w:r>
      <w:r/>
    </w:p>
    <w:p>
      <w:pPr>
        <w:pStyle w:val="1204"/>
        <w:spacing w:before="156" w:line="40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提供由省级以上监狱管理局、戒毒管理局（含新疆生产建设兵团）出具的属于监狱企业的证明文件</w:t>
      </w:r>
      <w:r>
        <w:rPr>
          <w:rFonts w:hint="eastAsia" w:ascii="宋体" w:hAnsi="宋体" w:eastAsia="宋体" w:cs="宋体"/>
          <w:b/>
          <w:bCs/>
          <w:sz w:val="24"/>
          <w:szCs w:val="24"/>
          <w:highlight w:val="none"/>
          <w:lang w:eastAsia="zh-CN"/>
        </w:rPr>
        <w:t xml:space="preserve">。</w:t>
      </w:r>
      <w:r/>
    </w:p>
    <w:p>
      <w:pPr>
        <w:spacing w:line="400" w:lineRule="exact"/>
        <w:rPr>
          <w:rFonts w:hint="eastAsia" w:ascii="宋体" w:hAnsi="宋体" w:eastAsia="宋体" w:cs="宋体"/>
          <w:sz w:val="24"/>
          <w:szCs w:val="24"/>
          <w:highlight w:val="none"/>
        </w:rPr>
        <w:outlineLvl w:val="2"/>
      </w:pPr>
      <w:r>
        <w:rPr>
          <w:rFonts w:hint="eastAsia" w:ascii="宋体" w:hAnsi="宋体" w:eastAsia="宋体" w:cs="宋体"/>
          <w:sz w:val="24"/>
          <w:szCs w:val="24"/>
          <w:highlight w:val="none"/>
        </w:rPr>
      </w:r>
      <w:r/>
    </w:p>
    <w:p>
      <w:pPr>
        <w:pStyle w:val="1076"/>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400" w:lineRule="exact"/>
        <w:rPr>
          <w:rFonts w:hint="eastAsia" w:ascii="宋体" w:hAnsi="宋体" w:eastAsia="宋体" w:cs="宋体"/>
          <w:b/>
          <w:bCs/>
          <w:sz w:val="32"/>
          <w:szCs w:val="32"/>
          <w:highlight w:val="none"/>
        </w:rPr>
        <w:outlineLvl w:val="2"/>
      </w:pPr>
      <w:r/>
      <w:bookmarkStart w:id="588" w:name="_Toc31406"/>
      <w:r>
        <w:rPr>
          <w:rFonts w:hint="eastAsia" w:ascii="宋体" w:hAnsi="宋体" w:eastAsia="宋体" w:cs="宋体"/>
          <w:b/>
          <w:bCs/>
          <w:sz w:val="32"/>
          <w:szCs w:val="32"/>
          <w:highlight w:val="none"/>
        </w:rPr>
        <w:t xml:space="preserve">残疾人福利性单位声明函</w:t>
      </w:r>
      <w:bookmarkEnd w:id="588"/>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（注：符合条件的残疾人福利性单位请提供本函，不符合的不提供本函）</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6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6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jc w:val="left"/>
        <w:spacing w:line="400" w:lineRule="exact"/>
        <w:rPr>
          <w:rFonts w:hint="eastAsia" w:ascii="宋体" w:hAnsi="宋体" w:eastAsia="宋体" w:cs="宋体"/>
          <w:sz w:val="24"/>
          <w:highlight w:val="none"/>
        </w:rPr>
      </w:pPr>
      <w:r>
        <w:rPr>
          <w:rFonts w:hint="eastAsia" w:ascii="宋体" w:hAnsi="宋体" w:eastAsia="宋体" w:cs="宋体"/>
          <w:sz w:val="21"/>
          <w:szCs w:val="21"/>
          <w:highlight w:val="none"/>
        </w:rPr>
        <w:br w:type="page" w:clear="all"/>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法定代表人身份证明书</w:t>
      </w:r>
      <w:r/>
    </w:p>
    <w:p>
      <w:pPr>
        <w:jc w:val="left"/>
        <w:spacing w:before="156" w:after="156" w:line="420" w:lineRule="exact"/>
        <w:tabs>
          <w:tab w:val="left" w:pos="2783" w:leader="none"/>
          <w:tab w:val="center" w:pos="4932" w:leader="none"/>
        </w:tabs>
        <w:rPr>
          <w:rFonts w:hint="eastAsia" w:ascii="宋体" w:hAnsi="宋体" w:eastAsia="宋体" w:cs="宋体"/>
          <w:b/>
          <w:sz w:val="28"/>
          <w:szCs w:val="28"/>
          <w:highlight w:val="none"/>
        </w:rPr>
      </w:pPr>
      <w:r>
        <w:rPr>
          <w:rFonts w:hint="eastAsia" w:ascii="宋体" w:hAnsi="宋体" w:eastAsia="宋体" w:cs="宋体"/>
          <w:b/>
          <w:sz w:val="28"/>
          <w:szCs w:val="28"/>
          <w:highlight w:val="none"/>
          <w:lang w:eastAsia="zh-CN"/>
        </w:rPr>
        <w:tab/>
      </w:r>
      <w:r>
        <w:rPr>
          <w:rFonts w:hint="eastAsia" w:ascii="宋体" w:hAnsi="宋体" w:eastAsia="宋体" w:cs="宋体"/>
          <w:b/>
          <w:sz w:val="28"/>
          <w:szCs w:val="28"/>
          <w:highlight w:val="none"/>
        </w:rPr>
        <w:t xml:space="preserve">法定代表人身份证明书</w:t>
      </w:r>
      <w:r/>
    </w:p>
    <w:p>
      <w:pPr>
        <w:spacing w:line="420" w:lineRule="exact"/>
        <w:rPr>
          <w:rFonts w:hint="eastAsia" w:ascii="宋体" w:hAnsi="宋体" w:eastAsia="宋体" w:cs="宋体"/>
          <w:b/>
          <w:sz w:val="24"/>
          <w:highlight w:val="none"/>
        </w:rPr>
      </w:pPr>
      <w:r>
        <w:rPr>
          <w:rFonts w:hint="eastAsia" w:ascii="宋体" w:hAnsi="宋体" w:eastAsia="宋体" w:cs="宋体"/>
          <w:b/>
          <w:sz w:val="24"/>
          <w:highlight w:val="none"/>
        </w:rPr>
      </w:r>
      <w:r/>
    </w:p>
    <w:p>
      <w:pPr>
        <w:ind w:firstLine="612"/>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单位名称：</w:t>
      </w:r>
      <w:r>
        <w:rPr>
          <w:rFonts w:hint="eastAsia" w:ascii="宋体" w:hAnsi="宋体" w:eastAsia="宋体" w:cs="宋体"/>
          <w:sz w:val="24"/>
          <w:highlight w:val="none"/>
          <w:u w:val="single"/>
        </w:rPr>
        <w:t xml:space="preserve">                                 </w:t>
      </w:r>
      <w:r/>
    </w:p>
    <w:p>
      <w:pPr>
        <w:ind w:firstLine="610"/>
        <w:spacing w:line="42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单位性质：</w:t>
      </w:r>
      <w:r>
        <w:rPr>
          <w:rFonts w:hint="eastAsia" w:ascii="宋体" w:hAnsi="宋体" w:eastAsia="宋体" w:cs="宋体"/>
          <w:sz w:val="24"/>
          <w:highlight w:val="none"/>
          <w:u w:val="single"/>
        </w:rPr>
        <w:t xml:space="preserve">                                 </w:t>
      </w:r>
      <w:r/>
    </w:p>
    <w:p>
      <w:pPr>
        <w:ind w:firstLine="610"/>
        <w:spacing w:line="42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rPr>
        <w:t xml:space="preserve">                                 </w:t>
      </w:r>
      <w:r/>
    </w:p>
    <w:p>
      <w:pPr>
        <w:ind w:firstLine="61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成立时间：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firstLine="610"/>
        <w:spacing w:line="42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经营期限：</w:t>
      </w:r>
      <w:r>
        <w:rPr>
          <w:rFonts w:hint="eastAsia" w:ascii="宋体" w:hAnsi="宋体" w:eastAsia="宋体" w:cs="宋体"/>
          <w:sz w:val="24"/>
          <w:highlight w:val="none"/>
          <w:u w:val="single"/>
        </w:rPr>
        <w:tab/>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tab/>
      </w:r>
      <w:r/>
    </w:p>
    <w:p>
      <w:pPr>
        <w:ind w:firstLine="61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姓    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性别：</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ind w:firstLine="610"/>
        <w:spacing w:line="42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p>
    <w:p>
      <w:pPr>
        <w:ind w:firstLine="61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供应商</w:t>
      </w:r>
      <w:r>
        <w:rPr>
          <w:rFonts w:hint="eastAsia" w:ascii="宋体" w:hAnsi="宋体" w:eastAsia="宋体" w:cs="宋体"/>
          <w:sz w:val="24"/>
          <w:highlight w:val="none"/>
          <w:u w:val="single"/>
        </w:rPr>
        <w:t xml:space="preserve">单位名称）         </w:t>
      </w:r>
      <w:r>
        <w:rPr>
          <w:rFonts w:hint="eastAsia" w:ascii="宋体" w:hAnsi="宋体" w:eastAsia="宋体" w:cs="宋体"/>
          <w:sz w:val="24"/>
          <w:highlight w:val="none"/>
        </w:rPr>
        <w:t xml:space="preserve">的法定代表人。</w:t>
      </w:r>
      <w:r/>
    </w:p>
    <w:p>
      <w:pPr>
        <w:ind w:firstLine="610"/>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61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p>
    <w:p>
      <w:pPr>
        <w:ind w:firstLine="480"/>
        <w:spacing w:line="42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2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u w:val="single"/>
        </w:rPr>
        <w:t xml:space="preserve">（须附身份证复印件）</w:t>
      </w:r>
      <w:r/>
    </w:p>
    <w:p>
      <w:pPr>
        <w:ind w:firstLine="480"/>
        <w:spacing w:line="42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firstLine="4440"/>
        <w:spacing w:line="420" w:lineRule="exact"/>
        <w:tabs>
          <w:tab w:val="left" w:pos="720" w:leader="none"/>
          <w:tab w:val="left" w:pos="900" w:leader="none"/>
        </w:tabs>
        <w:rPr>
          <w:rFonts w:hint="eastAsia" w:ascii="宋体" w:hAnsi="宋体" w:eastAsia="宋体" w:cs="宋体"/>
          <w:sz w:val="24"/>
          <w:highlight w:val="none"/>
          <w:u w:val="single"/>
        </w:rPr>
      </w:pP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（盖公章）</w:t>
      </w:r>
      <w:r/>
    </w:p>
    <w:p>
      <w:pPr>
        <w:ind w:firstLine="4440"/>
        <w:spacing w:line="42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法定代表人签名</w:t>
      </w:r>
      <w:r>
        <w:rPr>
          <w:rFonts w:hint="eastAsia" w:ascii="宋体" w:hAnsi="宋体" w:eastAsia="宋体" w:cs="宋体"/>
          <w:sz w:val="24"/>
          <w:highlight w:val="none"/>
          <w:u w:val="none"/>
        </w:rPr>
        <w:t xml:space="preserve">：</w:t>
      </w:r>
      <w:r>
        <w:rPr>
          <w:rFonts w:hint="eastAsia" w:ascii="宋体" w:hAnsi="宋体" w:eastAsia="宋体" w:cs="宋体"/>
          <w:sz w:val="24"/>
          <w:highlight w:val="none"/>
          <w:u w:val="single"/>
        </w:rPr>
        <w:t xml:space="preserve">            </w:t>
      </w:r>
      <w:r/>
    </w:p>
    <w:p>
      <w:pPr>
        <w:ind w:right="0" w:firstLine="4440"/>
        <w:jc w:val="both"/>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jc w:val="left"/>
        <w:spacing w:line="600" w:lineRule="exact"/>
        <w:rPr>
          <w:rFonts w:hint="eastAsia" w:ascii="宋体" w:hAnsi="宋体" w:eastAsia="宋体" w:cs="宋体"/>
          <w:sz w:val="24"/>
          <w:highlight w:val="none"/>
        </w:rPr>
      </w:pPr>
      <w:r>
        <w:rPr>
          <w:rFonts w:hint="eastAsia" w:ascii="宋体" w:hAnsi="宋体" w:eastAsia="宋体" w:cs="宋体"/>
          <w:b/>
          <w:sz w:val="32"/>
          <w:szCs w:val="32"/>
          <w:highlight w:val="none"/>
        </w:rPr>
        <w:br w:type="page" w:clear="all"/>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rPr>
        <w:t xml:space="preserve">法定代表人授权委托书</w:t>
      </w:r>
      <w:r/>
    </w:p>
    <w:p>
      <w:pPr>
        <w:ind w:firstLine="560"/>
        <w:jc w:val="center"/>
        <w:spacing w:line="6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法定代表人授权委托书</w:t>
      </w:r>
      <w:r/>
    </w:p>
    <w:p>
      <w:pPr>
        <w:ind w:firstLine="560"/>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560"/>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委托人：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560"/>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560"/>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560"/>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受委托人：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560"/>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受委托人居民身份证号码：</w:t>
      </w:r>
      <w:r>
        <w:rPr>
          <w:rFonts w:hint="eastAsia" w:ascii="宋体" w:hAnsi="宋体" w:eastAsia="宋体" w:cs="宋体"/>
          <w:sz w:val="24"/>
          <w:szCs w:val="24"/>
          <w:highlight w:val="none"/>
          <w:u w:val="single"/>
        </w:rPr>
        <w:t xml:space="preserve">                                </w:t>
      </w:r>
      <w:r/>
    </w:p>
    <w:p>
      <w:pPr>
        <w:ind w:firstLine="560"/>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受委托人电话：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现委托上述受委托人在</w:t>
      </w:r>
      <w:r>
        <w:rPr>
          <w:rFonts w:hint="eastAsia" w:ascii="宋体" w:hAnsi="宋体" w:eastAsia="宋体" w:cs="宋体"/>
          <w:sz w:val="24"/>
          <w:szCs w:val="24"/>
          <w:highlight w:val="none"/>
          <w:u w:val="single"/>
        </w:rPr>
        <w:t xml:space="preserve">         （采购项目名称）         </w:t>
      </w:r>
      <w:r>
        <w:rPr>
          <w:rFonts w:hint="eastAsia" w:ascii="宋体" w:hAnsi="宋体" w:eastAsia="宋体" w:cs="宋体"/>
          <w:sz w:val="24"/>
          <w:szCs w:val="24"/>
          <w:highlight w:val="none"/>
        </w:rPr>
        <w:t xml:space="preserve">竞争性磋商活动中，作为委托人的授权委托人。</w:t>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委托权限：领取采购文件、与采购人（采购代理机构）接洽各项</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事宜，编制、签署、递交、澄清、说明、补正响应文件，参加</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，签订合同和处理有关事宜等特别授权。受委托人联合行使或独立行使的委托权限，其法律后果由委托人承担。</w:t>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授权委托人无转委托权。采购人（采购代理机构）有权拒绝其他任何代表委托人行使的投标事宜，以及超出本授权范围的其他事宜。</w:t>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委托期限自   年  月  日起，至    年  月  日止。</w:t>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（须附法定代表人、受委托人身份证复印件）</w:t>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委托人（盖公章）：</w:t>
      </w:r>
      <w:r/>
    </w:p>
    <w:p>
      <w:pPr>
        <w:ind w:left="3635" w:hanging="3005"/>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法定代表人（签名或盖章）：</w:t>
      </w:r>
      <w:r/>
    </w:p>
    <w:p>
      <w:pPr>
        <w:ind w:left="3635" w:hanging="1745"/>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受委托人（签名或盖章）：</w:t>
      </w:r>
      <w:r/>
    </w:p>
    <w:p>
      <w:pPr>
        <w:ind w:firstLine="432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年  月  日</w:t>
      </w:r>
      <w:r/>
    </w:p>
    <w:p>
      <w:pPr>
        <w:jc w:val="left"/>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left"/>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left"/>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76"/>
        <w:rPr>
          <w:rFonts w:hint="eastAsia" w:ascii="宋体" w:hAnsi="宋体" w:eastAsia="宋体" w:cs="宋体"/>
          <w:highlight w:val="none"/>
        </w:rPr>
      </w:pP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诚信投标承诺书</w:t>
      </w:r>
      <w:r/>
    </w:p>
    <w:p>
      <w:pPr>
        <w:pStyle w:val="1048"/>
        <w:jc w:val="center"/>
        <w:rPr>
          <w:rFonts w:hint="eastAsia" w:ascii="宋体" w:hAnsi="宋体" w:eastAsia="宋体" w:cs="宋体"/>
          <w:b/>
          <w:bCs/>
          <w:highlight w:val="none"/>
        </w:rPr>
      </w:pPr>
      <w:r/>
      <w:bookmarkStart w:id="589" w:name="_Toc6162"/>
      <w:r>
        <w:rPr>
          <w:rFonts w:hint="eastAsia" w:ascii="宋体" w:hAnsi="宋体" w:eastAsia="宋体" w:cs="宋体"/>
          <w:b/>
          <w:bCs/>
          <w:highlight w:val="none"/>
        </w:rPr>
        <w:t xml:space="preserve">诚信投标承诺书</w:t>
      </w:r>
      <w:bookmarkEnd w:id="589"/>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（采购人）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（供应商名称）</w:t>
      </w:r>
      <w:r>
        <w:rPr>
          <w:rFonts w:hint="eastAsia" w:ascii="宋体" w:hAnsi="宋体" w:eastAsia="宋体" w:cs="宋体"/>
          <w:sz w:val="24"/>
          <w:szCs w:val="24"/>
          <w:highlight w:val="none"/>
        </w:rPr>
        <w:t xml:space="preserve">自愿参加</w:t>
      </w:r>
      <w:r>
        <w:rPr>
          <w:rFonts w:hint="eastAsia" w:ascii="宋体" w:hAnsi="宋体" w:eastAsia="宋体" w:cs="宋体"/>
          <w:sz w:val="24"/>
          <w:szCs w:val="24"/>
          <w:highlight w:val="none"/>
          <w:u w:val="single"/>
          <w:lang w:val="en-US" w:eastAsia="zh-CN"/>
        </w:rPr>
        <w:t xml:space="preserve">              （项目名称）</w:t>
      </w:r>
      <w:r>
        <w:rPr>
          <w:rFonts w:hint="eastAsia" w:ascii="宋体" w:hAnsi="宋体" w:eastAsia="宋体" w:cs="宋体"/>
          <w:sz w:val="24"/>
          <w:szCs w:val="24"/>
          <w:highlight w:val="none"/>
        </w:rPr>
        <w:t xml:space="preserve">的竞争性磋商活动，并做如下承诺：</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1.在本项目的竞争性磋商活动中，自觉遵守相关法律法规的规定，遵循诚实信用的原则。</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2.响应文件中所有内容均为我单位真实意思表达，且均已核实并保证真实有效。</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3.无法律、法规及磋商文件中规定的限制参加投标的行为。</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4.不以他人名义投标或者以其他方式弄虚作假，骗取中标。</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5.不与采购人（招标代理）或其他供应商相互串通投标，损害国家利益、社会公共利益或者他人的合法权益。</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6.公平竞争，不背后搞小动作，无恶意投诉、诋毁、排挤其他供应商的行为。</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7.不向采购人（招标代理）或者</w:t>
      </w:r>
      <w:r>
        <w:rPr>
          <w:rFonts w:hint="eastAsia" w:ascii="宋体" w:hAnsi="宋体" w:eastAsia="宋体" w:cs="宋体"/>
          <w:sz w:val="24"/>
          <w:szCs w:val="24"/>
          <w:highlight w:val="none"/>
          <w:lang w:eastAsia="zh-CN"/>
        </w:rPr>
        <w:t xml:space="preserve">磋商小组</w:t>
      </w:r>
      <w:r>
        <w:rPr>
          <w:rFonts w:hint="eastAsia" w:ascii="宋体" w:hAnsi="宋体" w:eastAsia="宋体" w:cs="宋体"/>
          <w:sz w:val="24"/>
          <w:szCs w:val="24"/>
          <w:highlight w:val="none"/>
        </w:rPr>
        <w:t xml:space="preserve">成员行贿、打招呼，以谋取中标。</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8.中标后在响应文件规定的时间内依法与采购人签订合同。</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9.不进行缺乏事实根据或法律依据的投诉。</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10.本公司拟派往本工程的项目负责人现阶段没有担任其他在建工程项目的项目经理。</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11.本公司拟派往本工程的项目负责人未同时在两个或者两个以上单位受聘或者执业。</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12.无建筑市场不良行为在江苏建设工程招标网、泰州市住房和城乡建设局官网、泰州市公共资源交易平台上被曝光。</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13.不存在竞争性磋商文件第二章供应商须知第1.4.</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项规定的情形。</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14.符合竞争性磋商公告3.（</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）的规定。</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如我单位违反上述承诺内容，自愿接受采购人、主管部门调查处理，并承担由此引发的一切后果。</w:t>
      </w:r>
      <w:r/>
    </w:p>
    <w:p>
      <w:pPr>
        <w:ind w:firstLine="451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承诺人</w:t>
      </w:r>
      <w:r>
        <w:rPr>
          <w:rFonts w:hint="eastAsia" w:ascii="宋体" w:hAnsi="宋体" w:eastAsia="宋体" w:cs="宋体"/>
          <w:sz w:val="24"/>
          <w:szCs w:val="24"/>
          <w:highlight w:val="none"/>
        </w:rPr>
        <w:t xml:space="preserve">（盖公章）：</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法定代表人或其委托代理人（签字或盖章）：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 w:right="1" w:firstLine="5040"/>
        <w:jc w:val="both"/>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年    月    日 </w:t>
      </w:r>
      <w:r/>
    </w:p>
    <w:p>
      <w:pPr>
        <w:jc w:val="left"/>
        <w:spacing w:line="600" w:lineRule="exact"/>
        <w:rPr>
          <w:rFonts w:hint="eastAsia" w:ascii="宋体" w:hAnsi="宋体" w:eastAsia="宋体" w:cs="宋体"/>
          <w:sz w:val="24"/>
          <w:highlight w:val="none"/>
          <w:lang w:eastAsia="zh-CN"/>
        </w:rPr>
      </w:pP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lang w:eastAsia="zh-CN"/>
        </w:rPr>
        <w:t xml:space="preserve">技术标准和要求</w:t>
      </w:r>
      <w:r>
        <w:rPr>
          <w:rFonts w:hint="eastAsia" w:ascii="宋体" w:hAnsi="宋体" w:eastAsia="宋体" w:cs="宋体"/>
          <w:sz w:val="28"/>
          <w:szCs w:val="28"/>
          <w:highlight w:val="none"/>
        </w:rPr>
        <w:t xml:space="preserve">响应</w:t>
      </w:r>
      <w:r>
        <w:rPr>
          <w:rFonts w:hint="eastAsia" w:ascii="宋体" w:hAnsi="宋体" w:eastAsia="宋体" w:cs="宋体"/>
          <w:sz w:val="28"/>
          <w:szCs w:val="28"/>
          <w:highlight w:val="none"/>
          <w:lang w:val="en-US" w:eastAsia="zh-CN"/>
        </w:rPr>
        <w:t xml:space="preserve">承诺</w:t>
      </w:r>
      <w:r/>
    </w:p>
    <w:p>
      <w:pPr>
        <w:jc w:val="center"/>
        <w:spacing w:line="600" w:lineRule="exact"/>
        <w:rPr>
          <w:rFonts w:hint="eastAsia" w:ascii="宋体" w:hAnsi="宋体" w:eastAsia="宋体" w:cs="宋体"/>
          <w:sz w:val="44"/>
          <w:szCs w:val="44"/>
          <w:highlight w:val="none"/>
        </w:rPr>
      </w:pPr>
      <w:r>
        <w:rPr>
          <w:rFonts w:hint="eastAsia" w:ascii="宋体" w:hAnsi="宋体" w:eastAsia="宋体" w:cs="宋体"/>
          <w:sz w:val="28"/>
          <w:szCs w:val="28"/>
          <w:highlight w:val="none"/>
        </w:rPr>
        <w:t xml:space="preserve">技术标准和要求响应</w:t>
      </w:r>
      <w:r>
        <w:rPr>
          <w:rFonts w:hint="eastAsia" w:ascii="宋体" w:hAnsi="宋体" w:eastAsia="宋体" w:cs="宋体"/>
          <w:sz w:val="28"/>
          <w:szCs w:val="28"/>
          <w:highlight w:val="none"/>
          <w:lang w:val="en-US" w:eastAsia="zh-CN"/>
        </w:rPr>
        <w:t xml:space="preserve">承诺</w:t>
      </w:r>
      <w:r/>
    </w:p>
    <w:p>
      <w:pPr>
        <w:ind w:firstLine="56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一、我方已经仔细阅读并充分理解本采购文件第四章技术标准和要求的内容，并郑重承诺完全按照技术标准和要求提供相应的服务，并自愿放弃对其中意义不明确内容的解释权。</w:t>
      </w:r>
      <w:r/>
    </w:p>
    <w:p>
      <w:pPr>
        <w:ind w:firstLine="56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二、技术要求</w:t>
      </w:r>
      <w:r>
        <w:rPr>
          <w:rFonts w:hint="eastAsia" w:ascii="宋体" w:hAnsi="宋体" w:eastAsia="宋体" w:cs="宋体"/>
          <w:sz w:val="24"/>
          <w:szCs w:val="24"/>
          <w:highlight w:val="none"/>
          <w:lang w:val="en-US" w:eastAsia="zh-CN"/>
        </w:rPr>
        <w:t xml:space="preserve">完全</w:t>
      </w:r>
      <w:r>
        <w:rPr>
          <w:rFonts w:hint="eastAsia" w:ascii="宋体" w:hAnsi="宋体" w:eastAsia="宋体" w:cs="宋体"/>
          <w:sz w:val="24"/>
          <w:szCs w:val="24"/>
          <w:highlight w:val="none"/>
        </w:rPr>
        <w:t xml:space="preserve">响应</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详细内容以竞争性磋商文件要求和磋商变动情况为准。</w:t>
      </w:r>
      <w:r/>
    </w:p>
    <w:p>
      <w:pPr>
        <w:ind w:firstLine="56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三、商务要求</w:t>
      </w:r>
      <w:r>
        <w:rPr>
          <w:rFonts w:hint="eastAsia" w:ascii="宋体" w:hAnsi="宋体" w:eastAsia="宋体" w:cs="宋体"/>
          <w:sz w:val="24"/>
          <w:szCs w:val="24"/>
          <w:highlight w:val="none"/>
          <w:lang w:val="en-US" w:eastAsia="zh-CN"/>
        </w:rPr>
        <w:t xml:space="preserve">完全</w:t>
      </w:r>
      <w:r>
        <w:rPr>
          <w:rFonts w:hint="eastAsia" w:ascii="宋体" w:hAnsi="宋体" w:eastAsia="宋体" w:cs="宋体"/>
          <w:sz w:val="24"/>
          <w:szCs w:val="24"/>
          <w:highlight w:val="none"/>
        </w:rPr>
        <w:t xml:space="preserve">响应</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详细内容以竞争性磋商文件要求和磋商变动情况为准。</w:t>
      </w:r>
      <w:r/>
    </w:p>
    <w:p>
      <w:pPr>
        <w:ind w:firstLine="56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四、合同草案条款完全响应，详细内容以竞争性磋商文件要求和磋商变动情况为准。</w:t>
      </w:r>
      <w:r/>
    </w:p>
    <w:p>
      <w:pPr>
        <w:ind w:firstLine="3920"/>
        <w:spacing w:before="163"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供应商名称(盖</w:t>
      </w:r>
      <w:r>
        <w:rPr>
          <w:rFonts w:hint="eastAsia" w:ascii="宋体" w:hAnsi="宋体" w:cs="宋体"/>
          <w:sz w:val="24"/>
          <w:szCs w:val="24"/>
          <w:highlight w:val="none"/>
          <w:lang w:eastAsia="zh-CN"/>
        </w:rPr>
        <w:t xml:space="preserve">公</w:t>
      </w:r>
      <w:r>
        <w:rPr>
          <w:rFonts w:hint="eastAsia" w:ascii="宋体" w:hAnsi="宋体" w:eastAsia="宋体" w:cs="宋体"/>
          <w:sz w:val="24"/>
          <w:szCs w:val="24"/>
          <w:highlight w:val="none"/>
        </w:rPr>
        <w:t xml:space="preserve">章)：</w:t>
      </w:r>
      <w:r/>
    </w:p>
    <w:p>
      <w:pPr>
        <w:ind w:firstLine="3920"/>
        <w:spacing w:before="163"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(签字或签章)：</w:t>
      </w:r>
      <w:r/>
    </w:p>
    <w:p>
      <w:pPr>
        <w:ind w:firstLine="3920"/>
        <w:spacing w:before="163"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日期：   年  月   日</w:t>
      </w:r>
      <w:r/>
    </w:p>
    <w:p>
      <w:pPr>
        <w:ind w:firstLine="3920"/>
        <w:spacing w:before="163" w:line="56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3920"/>
        <w:spacing w:before="163"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left"/>
        <w:spacing w:line="500" w:lineRule="exact"/>
        <w:rPr>
          <w:rFonts w:hint="eastAsia" w:ascii="宋体" w:hAnsi="宋体" w:eastAsia="宋体" w:cs="宋体"/>
          <w:sz w:val="24"/>
          <w:highlight w:val="none"/>
        </w:rPr>
      </w:pPr>
      <w:r>
        <w:rPr>
          <w:rFonts w:hint="eastAsia" w:ascii="宋体" w:hAnsi="宋体" w:eastAsia="宋体" w:cs="宋体"/>
          <w:sz w:val="28"/>
          <w:szCs w:val="28"/>
          <w:highlight w:val="none"/>
        </w:rPr>
        <w:t xml:space="preserve">3.1</w:t>
      </w:r>
      <w:r>
        <w:rPr>
          <w:rFonts w:hint="eastAsia" w:ascii="宋体" w:hAnsi="宋体" w:eastAsia="宋体" w:cs="宋体"/>
          <w:sz w:val="28"/>
          <w:szCs w:val="28"/>
          <w:highlight w:val="none"/>
          <w:lang w:val="en-US" w:eastAsia="zh-CN"/>
        </w:rPr>
        <w:t xml:space="preserve">0</w:t>
      </w:r>
      <w:r>
        <w:rPr>
          <w:rFonts w:hint="eastAsia" w:ascii="宋体" w:hAnsi="宋体" w:eastAsia="宋体" w:cs="宋体"/>
          <w:sz w:val="28"/>
          <w:szCs w:val="28"/>
          <w:highlight w:val="none"/>
        </w:rPr>
        <w:t xml:space="preserve">企业综合实力证明材料</w:t>
      </w:r>
      <w:r/>
    </w:p>
    <w:p>
      <w:pPr>
        <w:pStyle w:val="1174"/>
        <w:rPr>
          <w:rFonts w:hint="eastAsia" w:ascii="宋体" w:hAnsi="宋体" w:eastAsia="宋体" w:cs="宋体"/>
          <w:highlight w:val="none"/>
        </w:rPr>
      </w:pPr>
      <w:r>
        <w:rPr>
          <w:rFonts w:hint="eastAsia" w:ascii="宋体" w:hAnsi="宋体" w:eastAsia="宋体" w:cs="宋体"/>
          <w:highlight w:val="none"/>
        </w:rPr>
      </w:r>
      <w:r/>
    </w:p>
    <w:p>
      <w:pPr>
        <w:pStyle w:val="1174"/>
        <w:rPr>
          <w:rFonts w:hint="eastAsia" w:ascii="宋体" w:hAnsi="宋体" w:eastAsia="宋体" w:cs="宋体"/>
          <w:highlight w:val="none"/>
        </w:rPr>
      </w:pPr>
      <w:r>
        <w:rPr>
          <w:rFonts w:hint="eastAsia" w:ascii="宋体" w:hAnsi="宋体" w:eastAsia="宋体" w:cs="宋体"/>
          <w:highlight w:val="none"/>
        </w:rPr>
      </w:r>
      <w:r/>
    </w:p>
    <w:p>
      <w:pPr>
        <w:pStyle w:val="1174"/>
        <w:rPr>
          <w:rFonts w:hint="eastAsia" w:ascii="宋体" w:hAnsi="宋体" w:eastAsia="宋体" w:cs="宋体"/>
          <w:highlight w:val="none"/>
        </w:rPr>
      </w:pPr>
      <w:r>
        <w:rPr>
          <w:rFonts w:hint="eastAsia" w:ascii="宋体" w:hAnsi="宋体" w:eastAsia="宋体" w:cs="宋体"/>
          <w:highlight w:val="none"/>
        </w:rPr>
      </w:r>
      <w:r/>
    </w:p>
    <w:p>
      <w:pPr>
        <w:pStyle w:val="1174"/>
        <w:rPr>
          <w:rFonts w:hint="eastAsia" w:ascii="宋体" w:hAnsi="宋体" w:eastAsia="宋体" w:cs="宋体"/>
          <w:highlight w:val="none"/>
        </w:rPr>
      </w:pPr>
      <w:r>
        <w:rPr>
          <w:rFonts w:hint="eastAsia" w:ascii="宋体" w:hAnsi="宋体" w:eastAsia="宋体" w:cs="宋体"/>
          <w:highlight w:val="none"/>
        </w:rPr>
      </w:r>
      <w:r/>
    </w:p>
    <w:p>
      <w:pPr>
        <w:jc w:val="left"/>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供应商认为应列入响应文件的其他材料</w:t>
      </w:r>
      <w:bookmarkEnd w:id="574"/>
      <w:bookmarkEnd w:id="575"/>
      <w:r/>
    </w:p>
    <w:p>
      <w:pPr>
        <w:pStyle w:val="1076"/>
        <w:rPr>
          <w:rFonts w:hint="eastAsia" w:ascii="宋体" w:hAnsi="宋体" w:eastAsia="宋体" w:cs="宋体"/>
          <w:highlight w:val="none"/>
        </w:rPr>
      </w:pPr>
      <w:r>
        <w:rPr>
          <w:rFonts w:hint="eastAsia" w:ascii="宋体" w:hAnsi="宋体" w:eastAsia="宋体" w:cs="宋体"/>
          <w:highlight w:val="none"/>
        </w:rPr>
      </w:r>
      <w:r/>
    </w:p>
    <w:p>
      <w:pPr>
        <w:pStyle w:val="1099"/>
        <w:jc w:val="center"/>
        <w:spacing w:before="0" w:after="0" w:line="460" w:lineRule="exact"/>
        <w:rPr>
          <w:rStyle w:val="1059"/>
          <w:rFonts w:hint="eastAsia" w:ascii="宋体" w:hAnsi="宋体" w:eastAsia="宋体" w:cs="宋体"/>
          <w:sz w:val="32"/>
          <w:szCs w:val="32"/>
          <w:highlight w:val="none"/>
          <w:lang w:val="en-US" w:eastAsia="zh-CN"/>
        </w:rPr>
        <w:sectPr>
          <w:headerReference w:type="default" r:id="rId10"/>
          <w:footerReference w:type="default" r:id="rId18"/>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sz w:val="32"/>
          <w:szCs w:val="32"/>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099"/>
        <w:jc w:val="center"/>
        <w:spacing w:before="0" w:after="0" w:line="460" w:lineRule="exact"/>
        <w:rPr>
          <w:rStyle w:val="1059"/>
          <w:rFonts w:hint="eastAsia" w:ascii="宋体" w:hAnsi="宋体" w:eastAsia="宋体" w:cs="宋体"/>
          <w:sz w:val="32"/>
          <w:szCs w:val="32"/>
          <w:highlight w:val="none"/>
          <w:lang w:val="en-US" w:eastAsia="zh-CN"/>
        </w:rPr>
      </w:pPr>
      <w:r/>
      <w:bookmarkStart w:id="590" w:name="_Toc3791"/>
      <w:r/>
      <w:bookmarkStart w:id="591" w:name="_Toc13752"/>
      <w:r/>
      <w:bookmarkStart w:id="592" w:name="_Toc12007"/>
      <w:r/>
      <w:bookmarkStart w:id="593" w:name="_Toc5776"/>
      <w:r>
        <w:rPr>
          <w:rStyle w:val="1059"/>
          <w:rFonts w:hint="eastAsia" w:ascii="宋体" w:hAnsi="宋体" w:eastAsia="宋体" w:cs="宋体"/>
          <w:sz w:val="32"/>
          <w:szCs w:val="32"/>
          <w:highlight w:val="none"/>
          <w:lang w:val="en-US" w:eastAsia="zh-CN"/>
        </w:rPr>
        <w:t xml:space="preserve">第六章  合同条款及格式</w:t>
      </w:r>
      <w:bookmarkEnd w:id="590"/>
      <w:r/>
      <w:bookmarkEnd w:id="591"/>
      <w:r/>
      <w:bookmarkEnd w:id="592"/>
      <w:r/>
      <w:bookmarkEnd w:id="593"/>
      <w:r/>
      <w:r/>
    </w:p>
    <w:p>
      <w:pPr>
        <w:pStyle w:val="884"/>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pStyle w:val="1284"/>
        <w:jc w:val="center"/>
        <w:rPr>
          <w:rFonts w:hint="eastAsia" w:ascii="宋体" w:hAnsi="宋体" w:eastAsia="宋体" w:cs="宋体"/>
          <w:b/>
          <w:sz w:val="72"/>
          <w:szCs w:val="52"/>
          <w:highlight w:val="none"/>
        </w:rPr>
      </w:pPr>
      <w:r/>
      <w:bookmarkStart w:id="594" w:name="_bookmark273"/>
      <w:r/>
      <w:bookmarkEnd w:id="594"/>
      <w:r>
        <w:rPr>
          <w:rFonts w:hint="eastAsia" w:ascii="宋体" w:hAnsi="宋体" w:eastAsia="宋体" w:cs="宋体"/>
          <w:b/>
          <w:sz w:val="72"/>
          <w:szCs w:val="52"/>
          <w:highlight w:val="none"/>
        </w:rPr>
        <w:t xml:space="preserve">建设工程施工合同</w:t>
      </w:r>
      <w:r/>
    </w:p>
    <w:p>
      <w:pPr>
        <w:pStyle w:val="1284"/>
        <w:jc w:val="center"/>
        <w:rPr>
          <w:rFonts w:hint="eastAsia" w:ascii="宋体" w:hAnsi="宋体" w:eastAsia="宋体" w:cs="宋体"/>
          <w:b/>
          <w:sz w:val="52"/>
          <w:szCs w:val="52"/>
          <w:highlight w:val="none"/>
        </w:rPr>
      </w:pPr>
      <w:r>
        <w:rPr>
          <w:rFonts w:hint="eastAsia" w:ascii="宋体" w:hAnsi="宋体" w:eastAsia="宋体" w:cs="宋体"/>
          <w:b/>
          <w:sz w:val="52"/>
          <w:szCs w:val="52"/>
          <w:highlight w:val="none"/>
        </w:rPr>
        <w:t xml:space="preserve">（示范文本）</w:t>
      </w:r>
      <w:r/>
    </w:p>
    <w:p>
      <w:pPr>
        <w:pStyle w:val="1284"/>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（GF—2017—0201）</w:t>
      </w:r>
      <w:r/>
    </w:p>
    <w:p>
      <w:pPr>
        <w:pStyle w:val="1284"/>
        <w:jc w:val="center"/>
        <w:rPr>
          <w:rFonts w:hint="eastAsia" w:ascii="宋体" w:hAnsi="宋体" w:eastAsia="宋体" w:cs="宋体"/>
          <w:b/>
          <w:sz w:val="52"/>
          <w:szCs w:val="52"/>
          <w:highlight w:val="none"/>
        </w:rPr>
      </w:pPr>
      <w:r>
        <w:rPr>
          <w:rFonts w:hint="eastAsia" w:ascii="宋体" w:hAnsi="宋体" w:eastAsia="宋体" w:cs="宋体"/>
          <w:b/>
          <w:sz w:val="52"/>
          <w:szCs w:val="52"/>
          <w:highlight w:val="none"/>
        </w:rPr>
      </w:r>
      <w:r/>
    </w:p>
    <w:p>
      <w:pPr>
        <w:pStyle w:val="1284"/>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pStyle w:val="1284"/>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pStyle w:val="1284"/>
        <w:jc w:val="center"/>
        <w:rPr>
          <w:rFonts w:hint="eastAsia" w:ascii="宋体" w:hAnsi="宋体" w:eastAsia="宋体" w:cs="宋体"/>
          <w:b/>
          <w:sz w:val="52"/>
          <w:szCs w:val="52"/>
          <w:highlight w:val="none"/>
        </w:rPr>
      </w:pPr>
      <w:r>
        <w:rPr>
          <w:rFonts w:hint="eastAsia" w:ascii="宋体" w:hAnsi="宋体" w:eastAsia="宋体" w:cs="宋体"/>
          <w:b/>
          <w:sz w:val="52"/>
          <w:szCs w:val="52"/>
          <w:highlight w:val="none"/>
        </w:rPr>
      </w:r>
      <w:r/>
    </w:p>
    <w:p>
      <w:pPr>
        <w:pStyle w:val="1284"/>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284"/>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873"/>
        <w:jc w:val="center"/>
        <w:rPr>
          <w:rFonts w:hint="eastAsia" w:ascii="宋体" w:hAnsi="宋体" w:eastAsia="宋体" w:cs="宋体"/>
          <w:sz w:val="28"/>
          <w:szCs w:val="28"/>
          <w:highlight w:val="none"/>
        </w:rPr>
        <w:sectPr>
          <w:footnotePr/>
          <w:endnotePr/>
          <w:type w:val="nextPage"/>
          <w:pgSz w:w="11906" w:h="16838" w:orient="portrait"/>
          <w:pgMar w:top="1440" w:right="1800" w:bottom="1440" w:left="1800" w:header="851" w:footer="992" w:gutter="0"/>
          <w:cols w:num="1" w:sep="0" w:space="425" w:equalWidth="1"/>
          <w:docGrid w:linePitch="360"/>
        </w:sectPr>
      </w:pPr>
      <w:r/>
      <w:bookmarkStart w:id="595" w:name="_Toc85382124"/>
      <w:r/>
      <w:bookmarkStart w:id="596" w:name="_Toc119597876"/>
      <w:r/>
      <w:bookmarkStart w:id="597" w:name="_Toc93243196"/>
      <w:r/>
      <w:bookmarkStart w:id="598" w:name="_Toc117787799"/>
      <w:r/>
      <w:bookmarkStart w:id="599" w:name="_Toc86759990"/>
      <w:r/>
      <w:r/>
    </w:p>
    <w:p>
      <w:pPr>
        <w:pStyle w:val="873"/>
        <w:jc w:val="center"/>
        <w:rPr>
          <w:rFonts w:hint="eastAsia" w:ascii="宋体" w:hAnsi="宋体" w:eastAsia="宋体" w:cs="宋体"/>
          <w:b w:val="0"/>
          <w:sz w:val="28"/>
          <w:szCs w:val="28"/>
          <w:highlight w:val="none"/>
        </w:rPr>
      </w:pPr>
      <w:r>
        <w:rPr>
          <w:rFonts w:hint="eastAsia" w:ascii="宋体" w:hAnsi="宋体" w:eastAsia="宋体" w:cs="宋体"/>
          <w:sz w:val="28"/>
          <w:szCs w:val="28"/>
          <w:highlight w:val="none"/>
        </w:rPr>
        <w:t xml:space="preserve">第一部分 合同协议书</w:t>
      </w:r>
      <w:bookmarkEnd w:id="595"/>
      <w:r/>
      <w:bookmarkEnd w:id="596"/>
      <w:r/>
      <w:r/>
    </w:p>
    <w:p>
      <w:pPr>
        <w:spacing w:line="332" w:lineRule="auto"/>
        <w:rPr>
          <w:rFonts w:hint="eastAsia" w:ascii="宋体" w:hAnsi="宋体" w:eastAsia="宋体" w:cs="宋体"/>
          <w:bCs/>
          <w:szCs w:val="30"/>
          <w:highlight w:val="none"/>
          <w:u w:val="single"/>
        </w:rPr>
      </w:pPr>
      <w:r>
        <w:rPr>
          <w:rFonts w:hint="eastAsia" w:ascii="宋体" w:hAnsi="宋体" w:eastAsia="宋体" w:cs="宋体"/>
          <w:bCs/>
          <w:szCs w:val="30"/>
          <w:highlight w:val="none"/>
        </w:rPr>
        <w:t xml:space="preserve">发包人（全称）：</w:t>
      </w:r>
      <w:r/>
    </w:p>
    <w:p>
      <w:pPr>
        <w:spacing w:line="332" w:lineRule="auto"/>
        <w:rPr>
          <w:rFonts w:hint="eastAsia" w:ascii="宋体" w:hAnsi="宋体" w:eastAsia="宋体" w:cs="宋体"/>
          <w:b/>
          <w:szCs w:val="30"/>
          <w:highlight w:val="none"/>
          <w:u w:val="single"/>
        </w:rPr>
      </w:pPr>
      <w:r>
        <w:rPr>
          <w:rFonts w:hint="eastAsia" w:ascii="宋体" w:hAnsi="宋体" w:eastAsia="宋体" w:cs="宋体"/>
          <w:bCs/>
          <w:szCs w:val="30"/>
          <w:highlight w:val="none"/>
        </w:rPr>
        <w:t xml:space="preserve">承包人（全称）：</w:t>
      </w:r>
      <w:r/>
    </w:p>
    <w:p>
      <w:pPr>
        <w:ind w:firstLine="420"/>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根据《中华人民共和国民法典》、《中华人民共和国建筑法》及有关法律规定，遵循平等、自愿、公平和诚实信用的原则，双方就工程施工及有关事项协商一致，共同达成如下协议：</w:t>
      </w:r>
      <w:r/>
    </w:p>
    <w:p>
      <w:pPr>
        <w:spacing w:line="44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一、工程概况</w:t>
      </w:r>
      <w:r/>
    </w:p>
    <w:p>
      <w:pPr>
        <w:ind w:firstLine="411"/>
        <w:spacing w:line="332" w:lineRule="auto"/>
        <w:rPr>
          <w:rFonts w:hint="eastAsia" w:ascii="宋体" w:hAnsi="宋体" w:eastAsia="宋体" w:cs="宋体"/>
          <w:szCs w:val="30"/>
          <w:highlight w:val="none"/>
          <w:u w:val="single"/>
        </w:rPr>
      </w:pPr>
      <w:r>
        <w:rPr>
          <w:rFonts w:hint="eastAsia" w:ascii="宋体" w:hAnsi="宋体" w:eastAsia="宋体" w:cs="宋体"/>
          <w:bCs/>
          <w:szCs w:val="30"/>
          <w:highlight w:val="none"/>
        </w:rPr>
        <w:t xml:space="preserve">1.工程名称</w:t>
      </w:r>
      <w:r>
        <w:rPr>
          <w:rFonts w:hint="eastAsia" w:ascii="宋体" w:hAnsi="宋体" w:eastAsia="宋体" w:cs="宋体"/>
          <w:szCs w:val="30"/>
          <w:highlight w:val="none"/>
        </w:rPr>
        <w:t xml:space="preserve">：。</w:t>
      </w:r>
      <w:r/>
    </w:p>
    <w:p>
      <w:pPr>
        <w:ind w:firstLine="411"/>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2.工程地点：</w:t>
      </w:r>
      <w:r>
        <w:rPr>
          <w:rFonts w:hint="eastAsia" w:ascii="宋体" w:hAnsi="宋体" w:eastAsia="宋体" w:cs="宋体"/>
          <w:szCs w:val="30"/>
          <w:highlight w:val="none"/>
        </w:rPr>
        <w:t xml:space="preserve">。</w:t>
      </w:r>
      <w:r/>
    </w:p>
    <w:p>
      <w:pPr>
        <w:ind w:firstLine="411"/>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3.工程立项批准文号</w:t>
      </w:r>
      <w:r>
        <w:rPr>
          <w:rFonts w:hint="eastAsia" w:ascii="宋体" w:hAnsi="宋体" w:eastAsia="宋体" w:cs="宋体"/>
          <w:bCs/>
          <w:szCs w:val="30"/>
          <w:highlight w:val="none"/>
          <w:lang w:eastAsia="zh-CN"/>
        </w:rPr>
        <w:t xml:space="preserve">：</w:t>
      </w:r>
      <w:r>
        <w:rPr>
          <w:rFonts w:hint="eastAsia" w:ascii="宋体" w:hAnsi="宋体" w:eastAsia="宋体" w:cs="宋体"/>
          <w:bCs/>
          <w:szCs w:val="30"/>
          <w:highlight w:val="none"/>
        </w:rPr>
        <w:t xml:space="preserve">。</w:t>
      </w:r>
      <w:r/>
    </w:p>
    <w:p>
      <w:pPr>
        <w:ind w:firstLine="411"/>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4.资金来源：。</w:t>
      </w:r>
      <w:r/>
    </w:p>
    <w:p>
      <w:pPr>
        <w:ind w:firstLine="411"/>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5.工程内容：。</w:t>
      </w:r>
      <w:r/>
    </w:p>
    <w:p>
      <w:pPr>
        <w:ind w:firstLine="411"/>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6.工程承包范围：</w:t>
      </w:r>
      <w:r>
        <w:rPr>
          <w:rFonts w:hint="eastAsia" w:ascii="宋体" w:hAnsi="宋体" w:eastAsia="宋体" w:cs="宋体"/>
          <w:szCs w:val="30"/>
          <w:highlight w:val="none"/>
        </w:rPr>
        <w:t xml:space="preserve">。</w:t>
      </w:r>
      <w:r/>
    </w:p>
    <w:p>
      <w:pPr>
        <w:spacing w:line="44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二、合同工期</w:t>
      </w:r>
      <w:r/>
    </w:p>
    <w:p>
      <w:pPr>
        <w:ind w:firstLine="459"/>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计划开工日期：</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年</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月</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日。</w:t>
      </w:r>
      <w:r/>
    </w:p>
    <w:p>
      <w:pPr>
        <w:ind w:firstLine="459"/>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计划竣工日期：</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年</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月</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日。</w:t>
      </w:r>
      <w:r/>
    </w:p>
    <w:p>
      <w:pPr>
        <w:ind w:firstLine="459"/>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工期总日历天数：天。工期总日历天数与根据前述计划开竣工日期计算的工期天数不一致的，以工期总日历天数为准。</w:t>
      </w:r>
      <w:r/>
    </w:p>
    <w:p>
      <w:pPr>
        <w:spacing w:line="332"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三、质量标准</w:t>
      </w:r>
      <w:r/>
    </w:p>
    <w:p>
      <w:pPr>
        <w:ind w:firstLine="459"/>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工程质量符合标准。</w:t>
      </w:r>
      <w:r/>
    </w:p>
    <w:p>
      <w:pPr>
        <w:spacing w:line="332" w:lineRule="auto"/>
        <w:rPr>
          <w:rFonts w:hint="eastAsia" w:ascii="宋体" w:hAnsi="宋体" w:eastAsia="宋体" w:cs="宋体"/>
          <w:szCs w:val="30"/>
          <w:highlight w:val="none"/>
        </w:rPr>
      </w:pPr>
      <w:r>
        <w:rPr>
          <w:rFonts w:hint="eastAsia" w:ascii="宋体" w:hAnsi="宋体" w:eastAsia="宋体" w:cs="宋体"/>
          <w:b/>
          <w:bCs/>
          <w:szCs w:val="21"/>
          <w:highlight w:val="none"/>
        </w:rPr>
        <w:t xml:space="preserve">四、签约合同价与合同价格形式</w:t>
      </w:r>
      <w:r/>
    </w:p>
    <w:p>
      <w:pPr>
        <w:ind w:firstLine="420"/>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1.签约合同价为：</w:t>
      </w:r>
      <w:r/>
    </w:p>
    <w:p>
      <w:pPr>
        <w:ind w:firstLine="525"/>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人民币（大写）(¥元)；</w:t>
      </w:r>
      <w:r/>
    </w:p>
    <w:p>
      <w:pPr>
        <w:ind w:firstLine="420"/>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其中：</w:t>
      </w:r>
      <w:r/>
    </w:p>
    <w:p>
      <w:pPr>
        <w:ind w:firstLine="420"/>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（1）安全文明施工费：</w:t>
      </w:r>
      <w:r/>
    </w:p>
    <w:p>
      <w:pPr>
        <w:ind w:firstLine="945"/>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人民币（大写） (¥元)；</w:t>
      </w:r>
      <w:r/>
    </w:p>
    <w:p>
      <w:pPr>
        <w:ind w:firstLine="420"/>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（2）材料和工程设备暂估价金额：</w:t>
      </w:r>
      <w:r/>
    </w:p>
    <w:p>
      <w:pPr>
        <w:ind w:firstLine="945"/>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人民币（大写） (¥元)；</w:t>
      </w:r>
      <w:r/>
    </w:p>
    <w:p>
      <w:pPr>
        <w:ind w:firstLine="420"/>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（3）专业工程暂估价金额：</w:t>
      </w:r>
      <w:r/>
    </w:p>
    <w:p>
      <w:pPr>
        <w:ind w:firstLine="945"/>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人民币（大写） (¥元)；</w:t>
      </w:r>
      <w:r/>
    </w:p>
    <w:p>
      <w:pPr>
        <w:ind w:firstLine="420"/>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（4）暂列金额：</w:t>
      </w:r>
      <w:r/>
    </w:p>
    <w:p>
      <w:pPr>
        <w:ind w:firstLine="945"/>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人民币（大写） (¥元)。</w:t>
      </w:r>
      <w:r/>
    </w:p>
    <w:p>
      <w:pPr>
        <w:ind w:firstLine="420"/>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2.合同价格形式：。</w:t>
      </w:r>
      <w:r/>
    </w:p>
    <w:p>
      <w:pPr>
        <w:spacing w:line="332"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五、项目经理</w:t>
      </w:r>
      <w:r/>
    </w:p>
    <w:p>
      <w:pPr>
        <w:ind w:firstLine="420"/>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承包人项目经理：。</w:t>
      </w:r>
      <w:r/>
    </w:p>
    <w:p>
      <w:pPr>
        <w:spacing w:line="332"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六、合同文件构成</w:t>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本协议书与下列文件一起构成合同文件：</w:t>
      </w:r>
      <w:r/>
    </w:p>
    <w:p>
      <w:pPr>
        <w:ind w:firstLine="420"/>
        <w:jc w:val="left"/>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（1）中标通知书（如果有）；</w:t>
      </w:r>
      <w:r/>
    </w:p>
    <w:p>
      <w:pPr>
        <w:ind w:firstLine="420"/>
        <w:jc w:val="left"/>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（2）投标函及投标函附录；</w:t>
      </w:r>
      <w:r/>
    </w:p>
    <w:p>
      <w:pPr>
        <w:ind w:firstLine="420"/>
        <w:jc w:val="left"/>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（3）专用合同条款及其附件；</w:t>
      </w:r>
      <w:r/>
    </w:p>
    <w:p>
      <w:pPr>
        <w:ind w:firstLine="420"/>
        <w:jc w:val="left"/>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（4）通用合同条款；</w:t>
      </w:r>
      <w:r/>
    </w:p>
    <w:p>
      <w:pPr>
        <w:ind w:firstLine="420"/>
        <w:jc w:val="left"/>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（5）技术标准和要求；</w:t>
      </w:r>
      <w:r/>
    </w:p>
    <w:p>
      <w:pPr>
        <w:ind w:firstLine="420"/>
        <w:jc w:val="left"/>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（6）图纸；</w:t>
      </w:r>
      <w:r/>
    </w:p>
    <w:p>
      <w:pPr>
        <w:ind w:firstLine="420"/>
        <w:jc w:val="left"/>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（7）已标价工程量清单或预算书；</w:t>
      </w:r>
      <w:r/>
    </w:p>
    <w:p>
      <w:pPr>
        <w:ind w:firstLine="420"/>
        <w:jc w:val="left"/>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（8）其他合同文件。</w:t>
      </w:r>
      <w:r/>
    </w:p>
    <w:p>
      <w:pPr>
        <w:ind w:firstLine="420"/>
        <w:jc w:val="left"/>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在合同订立及履行过程中形成的与合同有关的文件均构成合同文件组成部分。</w:t>
      </w:r>
      <w:r/>
    </w:p>
    <w:p>
      <w:pPr>
        <w:ind w:firstLine="420"/>
        <w:jc w:val="left"/>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left"/>
        <w:spacing w:line="332"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七、承诺</w:t>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1.发包人承诺按照法律规定履行项目审批手续、筹集工程建设资金并按照合同约定的期限和方式支付合同价款。</w:t>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3.发包人和承包人通过招投标形式签订合同的，双方理解并承诺不再就同一工程另行签订与合同实质性内容相背离的协议。</w:t>
      </w:r>
      <w:r/>
    </w:p>
    <w:p>
      <w:pPr>
        <w:spacing w:line="332"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八、词语含义</w:t>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本协议书中词语含义与第二部分通用合同条款中赋予的含义相同。</w:t>
      </w:r>
      <w:r/>
    </w:p>
    <w:p>
      <w:pPr>
        <w:spacing w:line="332"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九、签订时间</w:t>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本合同于年月日签订。</w:t>
      </w:r>
      <w:r/>
    </w:p>
    <w:p>
      <w:pPr>
        <w:spacing w:line="332"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十、签订地点</w:t>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本合同在签订。</w:t>
      </w:r>
      <w:r/>
    </w:p>
    <w:p>
      <w:pPr>
        <w:spacing w:line="332"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十一、补充协议</w:t>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合同未尽事宜，合同当事人另行签订补充协议，补充协议是合同的组成部分。</w:t>
      </w:r>
      <w:r/>
    </w:p>
    <w:p>
      <w:pPr>
        <w:spacing w:line="332"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十二、合同生效</w:t>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本合同自生效。</w:t>
      </w:r>
      <w:r/>
    </w:p>
    <w:p>
      <w:pPr>
        <w:spacing w:line="332"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十三、合同份数</w:t>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本合同一式份，均具有同等法律效力，发包人执份，承包人执份。</w:t>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r>
      <w:r/>
    </w:p>
    <w:p>
      <w:pPr>
        <w:ind w:firstLine="420"/>
        <w:spacing w:line="332" w:lineRule="auto"/>
        <w:rPr>
          <w:rFonts w:hint="eastAsia" w:ascii="宋体" w:hAnsi="宋体" w:eastAsia="宋体" w:cs="宋体"/>
          <w:bCs/>
          <w:szCs w:val="30"/>
          <w:highlight w:val="none"/>
        </w:rPr>
      </w:pPr>
      <w:r>
        <w:rPr>
          <w:rFonts w:hint="eastAsia" w:ascii="宋体" w:hAnsi="宋体" w:eastAsia="宋体" w:cs="宋体"/>
          <w:bCs/>
          <w:szCs w:val="30"/>
          <w:highlight w:val="none"/>
        </w:rPr>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发包人：  (公章)                          承包人：  (公章)</w:t>
      </w:r>
      <w:r/>
    </w:p>
    <w:p>
      <w:pPr>
        <w:spacing w:line="332" w:lineRule="auto"/>
        <w:rPr>
          <w:rFonts w:hint="eastAsia" w:ascii="宋体" w:hAnsi="宋体" w:eastAsia="宋体" w:cs="宋体"/>
          <w:szCs w:val="30"/>
          <w:highlight w:val="none"/>
          <w:u w:val="single"/>
        </w:rPr>
      </w:pPr>
      <w:r>
        <w:rPr>
          <w:rFonts w:hint="eastAsia" w:ascii="宋体" w:hAnsi="宋体" w:eastAsia="宋体" w:cs="宋体"/>
          <w:szCs w:val="30"/>
          <w:highlight w:val="none"/>
          <w:u w:val="single"/>
        </w:rPr>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法定代表人或其委托代理人：     （签字）   法定代表人或其委托代理人：     （签字）</w:t>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r>
      <w:r/>
    </w:p>
    <w:p>
      <w:pPr>
        <w:spacing w:line="332" w:lineRule="auto"/>
        <w:rPr>
          <w:rFonts w:hint="eastAsia" w:ascii="宋体" w:hAnsi="宋体" w:eastAsia="宋体" w:cs="宋体"/>
          <w:szCs w:val="30"/>
          <w:highlight w:val="none"/>
          <w:u w:val="single"/>
        </w:rPr>
      </w:pPr>
      <w:r>
        <w:rPr>
          <w:rFonts w:hint="eastAsia" w:ascii="宋体" w:hAnsi="宋体" w:eastAsia="宋体" w:cs="宋体"/>
          <w:szCs w:val="30"/>
          <w:highlight w:val="none"/>
          <w:u w:val="single"/>
        </w:rPr>
      </w:r>
      <w:r/>
    </w:p>
    <w:p>
      <w:pPr>
        <w:spacing w:line="332" w:lineRule="auto"/>
        <w:tabs>
          <w:tab w:val="left" w:pos="4410" w:leader="none"/>
        </w:tabs>
        <w:rPr>
          <w:rFonts w:hint="eastAsia" w:ascii="宋体" w:hAnsi="宋体" w:eastAsia="宋体" w:cs="宋体"/>
          <w:szCs w:val="30"/>
          <w:highlight w:val="none"/>
        </w:rPr>
      </w:pPr>
      <w:r>
        <w:rPr>
          <w:rFonts w:hint="eastAsia" w:ascii="宋体" w:hAnsi="宋体" w:eastAsia="宋体" w:cs="宋体"/>
          <w:szCs w:val="30"/>
          <w:highlight w:val="none"/>
        </w:rPr>
        <w:t xml:space="preserve">组织机构代码：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 组织机构代码：</w:t>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地址：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地址：</w:t>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邮政编码：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邮政编码：</w:t>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法定代表人：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法定代表人：</w:t>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委托代理人：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委托代理人：</w:t>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电话：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电话：</w:t>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传真：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传真：</w:t>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电子信箱：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电子信箱：</w:t>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开户银行：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 开户银行：</w:t>
      </w:r>
      <w:r/>
    </w:p>
    <w:p>
      <w:pPr>
        <w:spacing w:line="332" w:lineRule="auto"/>
        <w:rPr>
          <w:rFonts w:hint="eastAsia" w:ascii="宋体" w:hAnsi="宋体" w:eastAsia="宋体" w:cs="宋体"/>
          <w:szCs w:val="30"/>
          <w:highlight w:val="none"/>
        </w:rPr>
      </w:pPr>
      <w:r>
        <w:rPr>
          <w:rFonts w:hint="eastAsia" w:ascii="宋体" w:hAnsi="宋体" w:eastAsia="宋体" w:cs="宋体"/>
          <w:szCs w:val="30"/>
          <w:highlight w:val="none"/>
        </w:rPr>
        <w:t xml:space="preserve">账号：             </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 xml:space="preserve"> 账号：</w:t>
      </w:r>
      <w:r/>
    </w:p>
    <w:p>
      <w:pPr>
        <w:pStyle w:val="873"/>
        <w:jc w:val="center"/>
        <w:spacing w:line="320" w:lineRule="exact"/>
        <w:rPr>
          <w:rFonts w:hint="eastAsia" w:ascii="宋体" w:hAnsi="宋体" w:eastAsia="宋体" w:cs="宋体"/>
          <w:sz w:val="28"/>
          <w:szCs w:val="28"/>
          <w:highlight w:val="none"/>
        </w:rPr>
      </w:pPr>
      <w:r/>
      <w:bookmarkStart w:id="600" w:name="_Toc85382125"/>
      <w:r/>
      <w:bookmarkStart w:id="601" w:name="_Toc498006745"/>
      <w:r/>
      <w:bookmarkStart w:id="602" w:name="_Toc119597877"/>
      <w:r>
        <w:rPr>
          <w:rFonts w:hint="eastAsia" w:ascii="宋体" w:hAnsi="宋体" w:eastAsia="宋体" w:cs="宋体"/>
          <w:sz w:val="28"/>
          <w:szCs w:val="28"/>
          <w:highlight w:val="none"/>
        </w:rPr>
        <w:br w:type="page" w:clear="all"/>
      </w:r>
      <w:r>
        <w:rPr>
          <w:rFonts w:hint="eastAsia" w:ascii="宋体" w:hAnsi="宋体" w:eastAsia="宋体" w:cs="宋体"/>
          <w:sz w:val="28"/>
          <w:szCs w:val="28"/>
          <w:highlight w:val="none"/>
        </w:rPr>
        <w:t xml:space="preserve">第二部分 通用合同条款</w:t>
      </w:r>
      <w:bookmarkEnd w:id="600"/>
      <w:r/>
      <w:bookmarkEnd w:id="601"/>
      <w:r/>
      <w:bookmarkEnd w:id="602"/>
      <w:r/>
      <w:r/>
    </w:p>
    <w:p>
      <w:pPr>
        <w:ind w:firstLine="420"/>
        <w:spacing w:line="32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20" w:lineRule="exact"/>
        <w:rPr>
          <w:rFonts w:hint="eastAsia" w:ascii="宋体" w:hAnsi="宋体" w:eastAsia="宋体" w:cs="宋体"/>
          <w:szCs w:val="21"/>
          <w:highlight w:val="none"/>
        </w:rPr>
      </w:pPr>
      <w:r>
        <w:rPr>
          <w:rFonts w:hint="eastAsia" w:ascii="宋体" w:hAnsi="宋体" w:eastAsia="宋体" w:cs="宋体"/>
          <w:bCs/>
          <w:szCs w:val="21"/>
          <w:highlight w:val="none"/>
        </w:rPr>
        <w:t xml:space="preserve"> 采用《建设工程施工合同（示范文本）》（GF—2017—0201）。</w:t>
      </w:r>
      <w:r/>
    </w:p>
    <w:p>
      <w:pPr>
        <w:ind w:right="-36" w:firstLine="529"/>
        <w:spacing w:line="320" w:lineRule="exact"/>
        <w:tabs>
          <w:tab w:val="left" w:pos="0" w:leader="none"/>
        </w:tabs>
        <w:rPr>
          <w:rFonts w:hint="eastAsia" w:ascii="宋体" w:hAnsi="宋体" w:eastAsia="宋体" w:cs="宋体"/>
          <w:highlight w:val="none"/>
        </w:rPr>
      </w:pPr>
      <w:r>
        <w:rPr>
          <w:rFonts w:hint="eastAsia" w:ascii="宋体" w:hAnsi="宋体" w:eastAsia="宋体" w:cs="宋体"/>
          <w:highlight w:val="none"/>
        </w:rPr>
      </w:r>
      <w:r/>
    </w:p>
    <w:p>
      <w:pPr>
        <w:pStyle w:val="873"/>
        <w:jc w:val="center"/>
        <w:spacing w:line="320" w:lineRule="exact"/>
        <w:rPr>
          <w:rFonts w:hint="eastAsia" w:ascii="宋体" w:hAnsi="宋体" w:eastAsia="宋体" w:cs="宋体"/>
          <w:sz w:val="28"/>
          <w:szCs w:val="44"/>
          <w:highlight w:val="none"/>
        </w:rPr>
      </w:pPr>
      <w:r>
        <w:rPr>
          <w:rFonts w:hint="eastAsia" w:ascii="宋体" w:hAnsi="宋体" w:eastAsia="宋体" w:cs="宋体"/>
          <w:highlight w:val="none"/>
        </w:rPr>
        <w:br w:type="page" w:clear="all"/>
      </w:r>
      <w:bookmarkStart w:id="603" w:name="_Toc119597878"/>
      <w:r/>
      <w:bookmarkStart w:id="604" w:name="_Toc498006746"/>
      <w:r/>
      <w:bookmarkStart w:id="605" w:name="_Toc85382126"/>
      <w:r>
        <w:rPr>
          <w:rFonts w:hint="eastAsia" w:ascii="宋体" w:hAnsi="宋体" w:eastAsia="宋体" w:cs="宋体"/>
          <w:sz w:val="28"/>
          <w:szCs w:val="44"/>
          <w:highlight w:val="none"/>
        </w:rPr>
        <w:t xml:space="preserve">第三部分 专用合同条款</w:t>
      </w:r>
      <w:bookmarkEnd w:id="603"/>
      <w:r/>
      <w:bookmarkEnd w:id="604"/>
      <w:r/>
      <w:bookmarkEnd w:id="605"/>
      <w:r/>
      <w:r/>
    </w:p>
    <w:p>
      <w:pPr>
        <w:pStyle w:val="1341"/>
        <w:spacing w:before="0" w:after="0" w:line="440" w:lineRule="exact"/>
        <w:rPr>
          <w:rFonts w:hint="eastAsia" w:ascii="宋体" w:hAnsi="宋体" w:eastAsia="宋体" w:cs="宋体"/>
          <w:sz w:val="21"/>
          <w:szCs w:val="21"/>
          <w:highlight w:val="none"/>
        </w:rPr>
      </w:pPr>
      <w:r/>
      <w:bookmarkStart w:id="606" w:name="_Toc351203633"/>
      <w:r>
        <w:rPr>
          <w:rFonts w:hint="eastAsia" w:ascii="宋体" w:hAnsi="宋体" w:eastAsia="宋体" w:cs="宋体"/>
          <w:sz w:val="21"/>
          <w:szCs w:val="21"/>
          <w:highlight w:val="none"/>
        </w:rPr>
        <w:t xml:space="preserve">1</w:t>
      </w:r>
      <w:bookmarkStart w:id="607" w:name="_Toc296944495"/>
      <w:r/>
      <w:bookmarkStart w:id="608" w:name="_Toc296347155"/>
      <w:r/>
      <w:bookmarkStart w:id="609" w:name="_Toc292559866"/>
      <w:r/>
      <w:bookmarkStart w:id="610" w:name="_Toc296346657"/>
      <w:r/>
      <w:bookmarkStart w:id="611" w:name="_Toc297048342"/>
      <w:r/>
      <w:bookmarkStart w:id="612" w:name="_Toc296890984"/>
      <w:r/>
      <w:bookmarkStart w:id="613" w:name="_Toc297120456"/>
      <w:r/>
      <w:bookmarkStart w:id="614" w:name="_Toc296503156"/>
      <w:r/>
      <w:bookmarkStart w:id="615" w:name="_Toc296891196"/>
      <w:r/>
      <w:bookmarkStart w:id="616" w:name="_Toc292559361"/>
      <w:r>
        <w:rPr>
          <w:rFonts w:hint="eastAsia" w:ascii="宋体" w:hAnsi="宋体" w:eastAsia="宋体" w:cs="宋体"/>
          <w:sz w:val="21"/>
          <w:szCs w:val="21"/>
          <w:highlight w:val="none"/>
        </w:rPr>
        <w:t xml:space="preserve">. 一般约定</w:t>
      </w:r>
      <w:bookmarkEnd w:id="606"/>
      <w:r/>
      <w:bookmarkEnd w:id="607"/>
      <w:r/>
      <w:bookmarkEnd w:id="608"/>
      <w:r/>
      <w:bookmarkEnd w:id="609"/>
      <w:r/>
      <w:bookmarkEnd w:id="610"/>
      <w:r/>
      <w:bookmarkEnd w:id="611"/>
      <w:r/>
      <w:bookmarkEnd w:id="612"/>
      <w:r/>
      <w:bookmarkEnd w:id="613"/>
      <w:r/>
      <w:bookmarkEnd w:id="614"/>
      <w:r/>
      <w:bookmarkEnd w:id="615"/>
      <w:r/>
      <w:bookmarkEnd w:id="616"/>
      <w:r/>
      <w:r/>
    </w:p>
    <w:p>
      <w:pPr>
        <w:pStyle w:val="1342"/>
        <w:ind w:firstLine="422"/>
        <w:spacing w:line="440" w:lineRule="exact"/>
        <w:rPr>
          <w:rFonts w:hint="eastAsia" w:ascii="宋体" w:hAnsi="宋体" w:eastAsia="宋体" w:cs="宋体"/>
          <w:b/>
          <w:sz w:val="21"/>
          <w:szCs w:val="21"/>
          <w:highlight w:val="none"/>
        </w:rPr>
        <w:outlineLvl w:val="0"/>
      </w:pPr>
      <w:r/>
      <w:bookmarkStart w:id="617" w:name="_Toc54867142"/>
      <w:r/>
      <w:bookmarkStart w:id="618" w:name="_Toc41327798"/>
      <w:r/>
      <w:bookmarkStart w:id="619" w:name="_Toc9974925"/>
      <w:r/>
      <w:bookmarkStart w:id="620" w:name="_Toc30004135"/>
      <w:r/>
      <w:bookmarkStart w:id="621" w:name="_Toc467144124"/>
      <w:r/>
      <w:bookmarkStart w:id="622" w:name="_Toc499560827"/>
      <w:r/>
      <w:bookmarkStart w:id="623" w:name="_Toc472686038"/>
      <w:r/>
      <w:bookmarkStart w:id="624" w:name="_Toc473034357"/>
      <w:r/>
      <w:bookmarkStart w:id="625" w:name="_Toc119597879"/>
      <w:r/>
      <w:bookmarkStart w:id="626" w:name="_Toc11671812"/>
      <w:r/>
      <w:bookmarkStart w:id="627" w:name="_Toc30622594"/>
      <w:r>
        <w:rPr>
          <w:rFonts w:hint="eastAsia" w:ascii="宋体" w:hAnsi="宋体" w:eastAsia="宋体" w:cs="宋体"/>
          <w:b/>
          <w:sz w:val="21"/>
          <w:szCs w:val="21"/>
          <w:highlight w:val="none"/>
        </w:rPr>
        <w:t xml:space="preserve">1.1 词语定义</w:t>
      </w:r>
      <w:bookmarkEnd w:id="617"/>
      <w:r/>
      <w:bookmarkEnd w:id="618"/>
      <w:r/>
      <w:bookmarkEnd w:id="619"/>
      <w:r/>
      <w:bookmarkEnd w:id="620"/>
      <w:r/>
      <w:bookmarkEnd w:id="621"/>
      <w:r/>
      <w:bookmarkEnd w:id="622"/>
      <w:r/>
      <w:bookmarkEnd w:id="623"/>
      <w:r/>
      <w:bookmarkEnd w:id="624"/>
      <w:r/>
      <w:bookmarkEnd w:id="625"/>
      <w:r/>
      <w:bookmarkEnd w:id="626"/>
      <w:r/>
      <w:bookmarkEnd w:id="627"/>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1.1.1合同</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1.1.1.10其他合同文件包括：</w:t>
      </w:r>
      <w:r>
        <w:rPr>
          <w:rFonts w:hint="eastAsia" w:ascii="宋体" w:hAnsi="宋体" w:eastAsia="宋体" w:cs="宋体"/>
          <w:sz w:val="21"/>
          <w:szCs w:val="21"/>
          <w:highlight w:val="none"/>
          <w:u w:val="single"/>
        </w:rPr>
        <w:t xml:space="preserve">（1）本合同协议书（2）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 合同当事人及其他相关方</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1.1.2.4监理人：</w:t>
      </w:r>
      <w:r/>
    </w:p>
    <w:p>
      <w:pPr>
        <w:pStyle w:val="1342"/>
        <w:ind w:firstLine="420"/>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名    称：；</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资质类别和等级：；</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1.1.2.5 设计人：</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    称：；</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资质类别和等级：；</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 工程和设备</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1.1.3.7 作为施工现场组成部分的其他场所包括：。</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1.1.3.9 永久占地包括：。</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1.1.3.10 临时占地包括：。</w:t>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1.3法律 </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适用于合同的其他规范性文件：</w:t>
      </w:r>
      <w:r>
        <w:rPr>
          <w:rFonts w:hint="eastAsia" w:ascii="宋体" w:hAnsi="宋体" w:eastAsia="宋体" w:cs="宋体"/>
          <w:sz w:val="21"/>
          <w:szCs w:val="21"/>
          <w:highlight w:val="none"/>
          <w:u w:val="single"/>
        </w:rPr>
        <w:t xml:space="preserve">《中华人民共和国民法典》、《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rPr>
          <w:rFonts w:hint="eastAsia" w:ascii="宋体" w:hAnsi="宋体" w:eastAsia="宋体" w:cs="宋体"/>
          <w:sz w:val="21"/>
          <w:szCs w:val="21"/>
          <w:highlight w:val="none"/>
        </w:rPr>
        <w:t xml:space="preserve">。</w:t>
      </w:r>
      <w:r/>
    </w:p>
    <w:p>
      <w:pPr>
        <w:pStyle w:val="1342"/>
        <w:ind w:firstLine="413"/>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1.4 标准和规范</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1.4.1适用于工程的标准规范包括：</w:t>
      </w:r>
      <w:r>
        <w:rPr>
          <w:rFonts w:hint="eastAsia" w:ascii="宋体" w:hAnsi="宋体" w:eastAsia="宋体" w:cs="宋体"/>
          <w:sz w:val="21"/>
          <w:szCs w:val="21"/>
          <w:highlight w:val="none"/>
          <w:u w:val="single"/>
        </w:rPr>
        <w:t xml:space="preserve">现行有关建设工程的标准和规范、规程；建设质量验收评定标准，施工图纸以及设计文件所载明的标准、规范、规程等。      </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 发包人提供国外标准、规范的名称：</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发包人提供国外标准、规范的份数：</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发包人提供国外标准、规范的名称：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1.4.3发包人对工程的技术标准和功能要求的特殊要求：</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outlineLvl w:val="0"/>
      </w:pPr>
      <w:r/>
      <w:bookmarkStart w:id="628" w:name="_Toc499560828"/>
      <w:r/>
      <w:bookmarkStart w:id="629" w:name="_Toc30004136"/>
      <w:r/>
      <w:bookmarkStart w:id="630" w:name="_Toc9974926"/>
      <w:r/>
      <w:bookmarkStart w:id="631" w:name="_Toc473034358"/>
      <w:r/>
      <w:bookmarkStart w:id="632" w:name="_Toc472686039"/>
      <w:r/>
      <w:bookmarkStart w:id="633" w:name="_Toc119597880"/>
      <w:r/>
      <w:bookmarkStart w:id="634" w:name="_Toc30622595"/>
      <w:r/>
      <w:bookmarkStart w:id="635" w:name="_Toc467144125"/>
      <w:r/>
      <w:bookmarkStart w:id="636" w:name="_Toc54867143"/>
      <w:r/>
      <w:bookmarkStart w:id="637" w:name="_Toc11671813"/>
      <w:r/>
      <w:bookmarkStart w:id="638" w:name="_Toc41327799"/>
      <w:r>
        <w:rPr>
          <w:rFonts w:hint="eastAsia" w:ascii="宋体" w:hAnsi="宋体" w:eastAsia="宋体" w:cs="宋体"/>
          <w:b/>
          <w:sz w:val="21"/>
          <w:szCs w:val="21"/>
          <w:highlight w:val="none"/>
        </w:rPr>
        <w:t xml:space="preserve">1.5 合同文件的优先顺序</w:t>
      </w:r>
      <w:bookmarkEnd w:id="628"/>
      <w:r/>
      <w:bookmarkEnd w:id="629"/>
      <w:r/>
      <w:bookmarkEnd w:id="630"/>
      <w:r/>
      <w:bookmarkEnd w:id="631"/>
      <w:r/>
      <w:bookmarkEnd w:id="632"/>
      <w:r/>
      <w:bookmarkEnd w:id="633"/>
      <w:r/>
      <w:bookmarkEnd w:id="634"/>
      <w:r/>
      <w:bookmarkEnd w:id="635"/>
      <w:r/>
      <w:bookmarkEnd w:id="636"/>
      <w:r/>
      <w:bookmarkEnd w:id="637"/>
      <w:r/>
      <w:bookmarkEnd w:id="638"/>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合同文件组成及优先顺序为：</w:t>
      </w:r>
      <w:r>
        <w:rPr>
          <w:rFonts w:hint="eastAsia" w:ascii="宋体" w:hAnsi="宋体" w:eastAsia="宋体" w:cs="宋体"/>
          <w:sz w:val="21"/>
          <w:szCs w:val="21"/>
          <w:highlight w:val="none"/>
          <w:u w:val="single"/>
        </w:rPr>
        <w:t xml:space="preserve"> 按照通用条款执行 </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outlineLvl w:val="0"/>
      </w:pPr>
      <w:r/>
      <w:bookmarkStart w:id="639" w:name="_Toc41327800"/>
      <w:r/>
      <w:bookmarkStart w:id="640" w:name="_Toc467144126"/>
      <w:r/>
      <w:bookmarkStart w:id="641" w:name="_Toc473034359"/>
      <w:r/>
      <w:bookmarkStart w:id="642" w:name="_Toc11671814"/>
      <w:r/>
      <w:bookmarkStart w:id="643" w:name="_Toc30622596"/>
      <w:r/>
      <w:bookmarkStart w:id="644" w:name="_Toc30004137"/>
      <w:r/>
      <w:bookmarkStart w:id="645" w:name="_Toc119597881"/>
      <w:r/>
      <w:bookmarkStart w:id="646" w:name="_Toc9974927"/>
      <w:r/>
      <w:bookmarkStart w:id="647" w:name="_Toc472686040"/>
      <w:r/>
      <w:bookmarkStart w:id="648" w:name="_Toc54867144"/>
      <w:r/>
      <w:bookmarkStart w:id="649" w:name="_Toc499560829"/>
      <w:r>
        <w:rPr>
          <w:rFonts w:hint="eastAsia" w:ascii="宋体" w:hAnsi="宋体" w:eastAsia="宋体" w:cs="宋体"/>
          <w:b/>
          <w:sz w:val="21"/>
          <w:szCs w:val="21"/>
          <w:highlight w:val="none"/>
        </w:rPr>
        <w:t xml:space="preserve">1.6 图纸和承包人文件</w:t>
      </w:r>
      <w:bookmarkEnd w:id="639"/>
      <w:r/>
      <w:bookmarkEnd w:id="640"/>
      <w:r/>
      <w:bookmarkEnd w:id="641"/>
      <w:r/>
      <w:bookmarkEnd w:id="642"/>
      <w:r/>
      <w:bookmarkEnd w:id="643"/>
      <w:r/>
      <w:bookmarkEnd w:id="644"/>
      <w:r/>
      <w:bookmarkEnd w:id="645"/>
      <w:r/>
      <w:bookmarkEnd w:id="646"/>
      <w:r/>
      <w:bookmarkEnd w:id="647"/>
      <w:r/>
      <w:bookmarkEnd w:id="648"/>
      <w:r/>
      <w:bookmarkEnd w:id="649"/>
      <w:r>
        <w:rPr>
          <w:rFonts w:hint="eastAsia" w:ascii="宋体" w:hAnsi="宋体" w:eastAsia="宋体" w:cs="宋体"/>
          <w:b/>
          <w:sz w:val="21"/>
          <w:szCs w:val="21"/>
          <w:highlight w:val="none"/>
        </w:rPr>
        <w:tab/>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 图纸的提供</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发包人向承包人提供图纸的期限：</w:t>
      </w:r>
      <w:r>
        <w:rPr>
          <w:rFonts w:hint="eastAsia" w:ascii="宋体" w:hAnsi="宋体" w:eastAsia="宋体" w:cs="宋体"/>
          <w:sz w:val="21"/>
          <w:szCs w:val="21"/>
          <w:highlight w:val="none"/>
          <w:u w:val="single"/>
        </w:rPr>
        <w:t xml:space="preserve">  开工前         </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发包人向承包人提供图纸的数量：</w:t>
      </w:r>
      <w:r>
        <w:rPr>
          <w:rFonts w:hint="eastAsia" w:ascii="宋体" w:hAnsi="宋体" w:eastAsia="宋体" w:cs="宋体"/>
          <w:sz w:val="21"/>
          <w:szCs w:val="21"/>
          <w:highlight w:val="none"/>
          <w:u w:val="single"/>
        </w:rPr>
        <w:t xml:space="preserve"> 叁套        </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发包人向承包人提供图纸的内容：</w:t>
      </w:r>
      <w:r>
        <w:rPr>
          <w:rFonts w:hint="eastAsia" w:ascii="宋体" w:hAnsi="宋体" w:eastAsia="宋体" w:cs="宋体"/>
          <w:sz w:val="21"/>
          <w:szCs w:val="21"/>
          <w:highlight w:val="none"/>
          <w:u w:val="single"/>
        </w:rPr>
        <w:t xml:space="preserve">全套图纸</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1.6.4 承包人文件</w:t>
      </w:r>
      <w:r/>
    </w:p>
    <w:p>
      <w:pPr>
        <w:pStyle w:val="1342"/>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需要由承包人提供的文件，包括：</w:t>
      </w:r>
      <w:r>
        <w:rPr>
          <w:rFonts w:hint="eastAsia" w:ascii="宋体" w:hAnsi="宋体" w:eastAsia="宋体" w:cs="宋体"/>
          <w:sz w:val="21"/>
          <w:szCs w:val="21"/>
          <w:highlight w:val="none"/>
          <w:u w:val="single"/>
        </w:rPr>
        <w:t xml:space="preserve">施工组织设计、工程进度计划、专项施工方案等, 承包人在各分项工程施工前必须上报完整的施工组织设计报监理、发包人审核通过方可实施，危大工程必须编制专项施工方案，超规模的必须经专家论证通过后方可实施；</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承包人提供的文件的期限为：</w:t>
      </w:r>
      <w:r>
        <w:rPr>
          <w:rFonts w:hint="eastAsia" w:ascii="宋体" w:hAnsi="宋体" w:eastAsia="宋体" w:cs="宋体"/>
          <w:sz w:val="21"/>
          <w:szCs w:val="21"/>
          <w:highlight w:val="none"/>
          <w:u w:val="single"/>
        </w:rPr>
        <w:t xml:space="preserve">在工程或相应部位施工前</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承包人提供的文件的数量为：</w:t>
      </w:r>
      <w:r>
        <w:rPr>
          <w:rFonts w:hint="eastAsia" w:ascii="宋体" w:hAnsi="宋体" w:eastAsia="宋体" w:cs="宋体"/>
          <w:sz w:val="21"/>
          <w:szCs w:val="21"/>
          <w:highlight w:val="none"/>
          <w:u w:val="single"/>
        </w:rPr>
        <w:t xml:space="preserve">叁套 </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承包人提供的文件的形式为：</w:t>
      </w:r>
      <w:r>
        <w:rPr>
          <w:rFonts w:hint="eastAsia" w:ascii="宋体" w:hAnsi="宋体" w:eastAsia="宋体" w:cs="宋体"/>
          <w:sz w:val="21"/>
          <w:szCs w:val="21"/>
          <w:highlight w:val="none"/>
          <w:u w:val="single"/>
        </w:rPr>
        <w:t xml:space="preserve">纸质书面材料并签字盖章  </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发包人审批承包人文件的期限：</w:t>
      </w:r>
      <w:r>
        <w:rPr>
          <w:rFonts w:hint="eastAsia" w:ascii="宋体" w:hAnsi="宋体" w:eastAsia="宋体" w:cs="宋体"/>
          <w:sz w:val="21"/>
          <w:szCs w:val="21"/>
          <w:highlight w:val="none"/>
          <w:u w:val="single"/>
        </w:rPr>
        <w:t xml:space="preserve"> 7天       </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1.6.5 现场图纸准备</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关于现场图纸准备的约定：</w:t>
      </w:r>
      <w:r>
        <w:rPr>
          <w:rFonts w:hint="eastAsia" w:ascii="宋体" w:hAnsi="宋体" w:eastAsia="宋体" w:cs="宋体"/>
          <w:sz w:val="21"/>
          <w:szCs w:val="21"/>
          <w:highlight w:val="none"/>
          <w:u w:val="single"/>
        </w:rPr>
        <w:t xml:space="preserve">承包人应在施工现场另外保存一套完整的图纸和承包人文件，供发包人、监理人及有关人员进行工程检查时使用</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outlineLvl w:val="0"/>
      </w:pPr>
      <w:r/>
      <w:bookmarkStart w:id="650" w:name="_Toc119597882"/>
      <w:r/>
      <w:bookmarkStart w:id="651" w:name="_Toc30622597"/>
      <w:r/>
      <w:bookmarkStart w:id="652" w:name="_Toc41327801"/>
      <w:r/>
      <w:bookmarkStart w:id="653" w:name="_Toc54867145"/>
      <w:r/>
      <w:bookmarkStart w:id="654" w:name="_Toc11671815"/>
      <w:r/>
      <w:bookmarkStart w:id="655" w:name="_Toc9974928"/>
      <w:r/>
      <w:bookmarkStart w:id="656" w:name="_Toc472686041"/>
      <w:r/>
      <w:bookmarkStart w:id="657" w:name="_Toc30004138"/>
      <w:r/>
      <w:bookmarkStart w:id="658" w:name="_Toc473034360"/>
      <w:r/>
      <w:bookmarkStart w:id="659" w:name="_Toc499560830"/>
      <w:r/>
      <w:bookmarkStart w:id="660" w:name="_Toc467144127"/>
      <w:r>
        <w:rPr>
          <w:rFonts w:hint="eastAsia" w:ascii="宋体" w:hAnsi="宋体" w:eastAsia="宋体" w:cs="宋体"/>
          <w:b/>
          <w:sz w:val="21"/>
          <w:szCs w:val="21"/>
          <w:highlight w:val="none"/>
        </w:rPr>
        <w:t xml:space="preserve">1.7 联络</w:t>
      </w:r>
      <w:bookmarkEnd w:id="650"/>
      <w:r/>
      <w:bookmarkEnd w:id="651"/>
      <w:r/>
      <w:bookmarkEnd w:id="652"/>
      <w:r/>
      <w:bookmarkEnd w:id="653"/>
      <w:r/>
      <w:bookmarkEnd w:id="654"/>
      <w:r/>
      <w:bookmarkEnd w:id="655"/>
      <w:r/>
      <w:bookmarkEnd w:id="656"/>
      <w:r/>
      <w:bookmarkEnd w:id="657"/>
      <w:r/>
      <w:bookmarkEnd w:id="658"/>
      <w:r/>
      <w:bookmarkEnd w:id="659"/>
      <w:r/>
      <w:bookmarkEnd w:id="660"/>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1.7.1发包人和承包人应当在</w:t>
      </w:r>
      <w:r>
        <w:rPr>
          <w:rFonts w:hint="eastAsia" w:ascii="宋体" w:hAnsi="宋体" w:eastAsia="宋体" w:cs="宋体"/>
          <w:sz w:val="21"/>
          <w:szCs w:val="21"/>
          <w:highlight w:val="none"/>
          <w:u w:val="single"/>
        </w:rPr>
        <w:t xml:space="preserve"> 5</w:t>
      </w:r>
      <w:r>
        <w:rPr>
          <w:rFonts w:hint="eastAsia" w:ascii="宋体" w:hAnsi="宋体" w:eastAsia="宋体" w:cs="宋体"/>
          <w:sz w:val="21"/>
          <w:szCs w:val="21"/>
          <w:highlight w:val="none"/>
        </w:rPr>
        <w:t xml:space="preserve">天内将与合同有关的通知、批准、证明、证书、指示、指令、要求、请求、同意、意见、确定和决定等书面函件送达对方当事人。</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 发包人接收文件的地点：</w:t>
      </w:r>
      <w:r>
        <w:rPr>
          <w:rFonts w:hint="eastAsia" w:ascii="宋体" w:hAnsi="宋体" w:eastAsia="宋体" w:cs="宋体"/>
          <w:sz w:val="21"/>
          <w:szCs w:val="21"/>
          <w:highlight w:val="none"/>
          <w:u w:val="single"/>
        </w:rPr>
        <w:t xml:space="preserve">施工现场或建设单位办公室</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发包人指定的接收人为：。</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承包人接收文件的地点：</w:t>
      </w:r>
      <w:r>
        <w:rPr>
          <w:rFonts w:hint="eastAsia" w:ascii="宋体" w:hAnsi="宋体" w:eastAsia="宋体" w:cs="宋体"/>
          <w:sz w:val="21"/>
          <w:szCs w:val="21"/>
          <w:highlight w:val="none"/>
          <w:u w:val="single"/>
        </w:rPr>
        <w:t xml:space="preserve">施工现场或建设单位办公室  </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承包人指定的接收人为：。</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监理人接收文件的地点：</w:t>
      </w:r>
      <w:r>
        <w:rPr>
          <w:rFonts w:hint="eastAsia" w:ascii="宋体" w:hAnsi="宋体" w:eastAsia="宋体" w:cs="宋体"/>
          <w:sz w:val="21"/>
          <w:szCs w:val="21"/>
          <w:highlight w:val="none"/>
          <w:u w:val="single"/>
        </w:rPr>
        <w:t xml:space="preserve">施工现场或建设单位办公室 </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监理人指定的接收人为：。</w:t>
      </w:r>
      <w:r/>
    </w:p>
    <w:p>
      <w:pPr>
        <w:pStyle w:val="1342"/>
        <w:ind w:firstLine="422"/>
        <w:spacing w:line="440" w:lineRule="exact"/>
        <w:rPr>
          <w:rFonts w:hint="eastAsia" w:ascii="宋体" w:hAnsi="宋体" w:eastAsia="宋体" w:cs="宋体"/>
          <w:b/>
          <w:sz w:val="21"/>
          <w:szCs w:val="21"/>
          <w:highlight w:val="none"/>
        </w:rPr>
        <w:outlineLvl w:val="0"/>
      </w:pPr>
      <w:r/>
      <w:bookmarkStart w:id="661" w:name="_Toc467144128"/>
      <w:r/>
      <w:bookmarkStart w:id="662" w:name="_Toc11671816"/>
      <w:r/>
      <w:bookmarkStart w:id="663" w:name="_Toc30622598"/>
      <w:r/>
      <w:bookmarkStart w:id="664" w:name="_Toc499560831"/>
      <w:r/>
      <w:bookmarkStart w:id="665" w:name="_Toc119597883"/>
      <w:r/>
      <w:bookmarkStart w:id="666" w:name="_Toc30004139"/>
      <w:r/>
      <w:bookmarkStart w:id="667" w:name="_Toc9974929"/>
      <w:r/>
      <w:bookmarkStart w:id="668" w:name="_Toc473034361"/>
      <w:r/>
      <w:bookmarkStart w:id="669" w:name="_Toc54867146"/>
      <w:r/>
      <w:bookmarkStart w:id="670" w:name="_Toc41327802"/>
      <w:r/>
      <w:bookmarkStart w:id="671" w:name="_Toc472686042"/>
      <w:r>
        <w:rPr>
          <w:rFonts w:hint="eastAsia" w:ascii="宋体" w:hAnsi="宋体" w:eastAsia="宋体" w:cs="宋体"/>
          <w:b/>
          <w:sz w:val="21"/>
          <w:szCs w:val="21"/>
          <w:highlight w:val="none"/>
        </w:rPr>
        <w:t xml:space="preserve">1.10 交通运输</w:t>
      </w:r>
      <w:bookmarkEnd w:id="661"/>
      <w:r/>
      <w:bookmarkEnd w:id="662"/>
      <w:r/>
      <w:bookmarkEnd w:id="663"/>
      <w:r/>
      <w:bookmarkEnd w:id="664"/>
      <w:r/>
      <w:bookmarkEnd w:id="665"/>
      <w:r/>
      <w:bookmarkEnd w:id="666"/>
      <w:r/>
      <w:bookmarkEnd w:id="667"/>
      <w:r/>
      <w:bookmarkEnd w:id="668"/>
      <w:r/>
      <w:bookmarkEnd w:id="669"/>
      <w:r/>
      <w:bookmarkEnd w:id="670"/>
      <w:r/>
      <w:bookmarkEnd w:id="671"/>
      <w:r/>
      <w:r/>
    </w:p>
    <w:p>
      <w:pPr>
        <w:pStyle w:val="1342"/>
        <w:ind w:firstLine="420"/>
        <w:spacing w:line="440" w:lineRule="exact"/>
        <w:rPr>
          <w:rFonts w:hint="eastAsia" w:ascii="宋体" w:hAnsi="宋体" w:eastAsia="宋体" w:cs="宋体"/>
          <w:sz w:val="21"/>
          <w:szCs w:val="21"/>
          <w:highlight w:val="none"/>
        </w:rPr>
        <w:outlineLvl w:val="0"/>
      </w:pPr>
      <w:r/>
      <w:bookmarkStart w:id="672" w:name="_Toc473034362"/>
      <w:r/>
      <w:bookmarkStart w:id="673" w:name="_Toc499560832"/>
      <w:r/>
      <w:bookmarkStart w:id="674" w:name="_Toc9974930"/>
      <w:r/>
      <w:bookmarkStart w:id="675" w:name="_Toc30622599"/>
      <w:r/>
      <w:bookmarkStart w:id="676" w:name="_Toc472686043"/>
      <w:r/>
      <w:bookmarkStart w:id="677" w:name="_Toc54867147"/>
      <w:r/>
      <w:bookmarkStart w:id="678" w:name="_Toc11671817"/>
      <w:r/>
      <w:bookmarkStart w:id="679" w:name="_Toc41327803"/>
      <w:r/>
      <w:bookmarkStart w:id="680" w:name="_Toc30004140"/>
      <w:r/>
      <w:bookmarkStart w:id="681" w:name="_Toc467144129"/>
      <w:r/>
      <w:bookmarkStart w:id="682" w:name="_Toc119597884"/>
      <w:r>
        <w:rPr>
          <w:rFonts w:hint="eastAsia" w:ascii="宋体" w:hAnsi="宋体" w:eastAsia="宋体" w:cs="宋体"/>
          <w:sz w:val="21"/>
          <w:szCs w:val="21"/>
          <w:highlight w:val="none"/>
        </w:rPr>
        <w:t xml:space="preserve">1</w:t>
      </w:r>
      <w:bookmarkStart w:id="683" w:name="_Toc312677986"/>
      <w:r/>
      <w:bookmarkStart w:id="684" w:name="_Toc318581155"/>
      <w:r/>
      <w:bookmarkStart w:id="685" w:name="_Toc304295521"/>
      <w:r/>
      <w:bookmarkStart w:id="686" w:name="_Toc300934943"/>
      <w:r/>
      <w:bookmarkStart w:id="687" w:name="_Toc303539100"/>
      <w:r>
        <w:rPr>
          <w:rFonts w:hint="eastAsia" w:ascii="宋体" w:hAnsi="宋体" w:eastAsia="宋体" w:cs="宋体"/>
          <w:sz w:val="21"/>
          <w:szCs w:val="21"/>
          <w:highlight w:val="none"/>
        </w:rPr>
        <w:t xml:space="preserve">.10.1 出入现场的权利</w:t>
      </w:r>
      <w:bookmarkEnd w:id="672"/>
      <w:r/>
      <w:bookmarkEnd w:id="673"/>
      <w:r/>
      <w:bookmarkEnd w:id="674"/>
      <w:r/>
      <w:bookmarkEnd w:id="675"/>
      <w:r/>
      <w:bookmarkEnd w:id="676"/>
      <w:r/>
      <w:bookmarkEnd w:id="677"/>
      <w:r/>
      <w:bookmarkEnd w:id="678"/>
      <w:r/>
      <w:bookmarkEnd w:id="679"/>
      <w:r/>
      <w:bookmarkEnd w:id="680"/>
      <w:r/>
      <w:bookmarkEnd w:id="681"/>
      <w:r/>
      <w:bookmarkEnd w:id="682"/>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关于出入现场的权利的约定：</w:t>
      </w:r>
      <w:r>
        <w:rPr>
          <w:rFonts w:hint="eastAsia" w:ascii="宋体" w:hAnsi="宋体" w:eastAsia="宋体" w:cs="宋体"/>
          <w:sz w:val="21"/>
          <w:szCs w:val="21"/>
          <w:highlight w:val="none"/>
          <w:u w:val="single"/>
        </w:rPr>
        <w:t xml:space="preserve">发包人办理出入施工现场所需的所有批准或许可，并承担相关费用</w:t>
      </w:r>
      <w:r>
        <w:rPr>
          <w:rFonts w:hint="eastAsia" w:ascii="宋体" w:hAnsi="宋体" w:eastAsia="宋体" w:cs="宋体"/>
          <w:sz w:val="21"/>
          <w:szCs w:val="21"/>
          <w:highlight w:val="none"/>
        </w:rPr>
        <w:t xml:space="preserve">。</w:t>
      </w:r>
      <w:bookmarkEnd w:id="683"/>
      <w:r/>
      <w:bookmarkEnd w:id="684"/>
      <w:r/>
      <w:bookmarkEnd w:id="685"/>
      <w:r/>
      <w:bookmarkEnd w:id="686"/>
      <w:r/>
      <w:bookmarkEnd w:id="687"/>
      <w:r/>
      <w:r/>
    </w:p>
    <w:p>
      <w:pPr>
        <w:pStyle w:val="1342"/>
        <w:ind w:firstLine="420"/>
        <w:jc w:val="left"/>
        <w:spacing w:line="440" w:lineRule="exact"/>
        <w:rPr>
          <w:rFonts w:hint="eastAsia" w:ascii="宋体" w:hAnsi="宋体" w:eastAsia="宋体" w:cs="宋体"/>
          <w:sz w:val="21"/>
          <w:szCs w:val="21"/>
          <w:highlight w:val="none"/>
        </w:rPr>
        <w:outlineLvl w:val="0"/>
      </w:pPr>
      <w:r/>
      <w:bookmarkStart w:id="688" w:name="_Toc467144130"/>
      <w:r/>
      <w:bookmarkStart w:id="689" w:name="_Toc54867148"/>
      <w:r/>
      <w:bookmarkStart w:id="690" w:name="_Toc30004141"/>
      <w:r/>
      <w:bookmarkStart w:id="691" w:name="_Toc11671818"/>
      <w:r/>
      <w:bookmarkStart w:id="692" w:name="_Toc472686044"/>
      <w:r/>
      <w:bookmarkStart w:id="693" w:name="_Toc473034363"/>
      <w:r/>
      <w:bookmarkStart w:id="694" w:name="_Toc119597885"/>
      <w:r/>
      <w:bookmarkStart w:id="695" w:name="_Toc499560833"/>
      <w:r/>
      <w:bookmarkStart w:id="696" w:name="_Toc41327804"/>
      <w:r/>
      <w:bookmarkStart w:id="697" w:name="_Toc30622600"/>
      <w:r/>
      <w:bookmarkStart w:id="698" w:name="_Toc9974931"/>
      <w:r>
        <w:rPr>
          <w:rFonts w:hint="eastAsia" w:ascii="宋体" w:hAnsi="宋体" w:eastAsia="宋体" w:cs="宋体"/>
          <w:sz w:val="21"/>
          <w:szCs w:val="21"/>
          <w:highlight w:val="none"/>
        </w:rPr>
        <w:t xml:space="preserve">1</w:t>
      </w:r>
      <w:bookmarkStart w:id="699" w:name="_Toc300934944"/>
      <w:r/>
      <w:bookmarkStart w:id="700" w:name="_Toc303539101"/>
      <w:r/>
      <w:bookmarkStart w:id="701" w:name="_Toc318581156"/>
      <w:r/>
      <w:bookmarkStart w:id="702" w:name="_Toc304295522"/>
      <w:r/>
      <w:bookmarkStart w:id="703" w:name="_Toc312677987"/>
      <w:r>
        <w:rPr>
          <w:rFonts w:hint="eastAsia" w:ascii="宋体" w:hAnsi="宋体" w:eastAsia="宋体" w:cs="宋体"/>
          <w:sz w:val="21"/>
          <w:szCs w:val="21"/>
          <w:highlight w:val="none"/>
        </w:rPr>
        <w:t xml:space="preserve">.10.3 场内交通</w:t>
      </w:r>
      <w:bookmarkEnd w:id="688"/>
      <w:r/>
      <w:bookmarkEnd w:id="689"/>
      <w:r/>
      <w:bookmarkEnd w:id="690"/>
      <w:r/>
      <w:bookmarkEnd w:id="691"/>
      <w:r/>
      <w:bookmarkEnd w:id="692"/>
      <w:r/>
      <w:bookmarkEnd w:id="693"/>
      <w:r/>
      <w:bookmarkEnd w:id="694"/>
      <w:r/>
      <w:bookmarkEnd w:id="695"/>
      <w:r/>
      <w:bookmarkEnd w:id="696"/>
      <w:r/>
      <w:bookmarkEnd w:id="697"/>
      <w:r/>
      <w:bookmarkEnd w:id="698"/>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关于场外交通和场内交通的边界的约定：</w:t>
      </w:r>
      <w:r>
        <w:rPr>
          <w:rFonts w:hint="eastAsia" w:ascii="宋体" w:hAnsi="宋体" w:eastAsia="宋体" w:cs="宋体"/>
          <w:sz w:val="21"/>
          <w:szCs w:val="21"/>
          <w:highlight w:val="none"/>
          <w:u w:val="single"/>
        </w:rPr>
        <w:t xml:space="preserve">规划红线</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关于发包人向承包人免费提供满足工程施工需要的场内道路和交通设施的约定：</w:t>
      </w:r>
      <w:r>
        <w:rPr>
          <w:rFonts w:hint="eastAsia" w:ascii="宋体" w:hAnsi="宋体" w:eastAsia="宋体" w:cs="宋体"/>
          <w:sz w:val="21"/>
          <w:szCs w:val="21"/>
          <w:highlight w:val="none"/>
          <w:u w:val="single"/>
        </w:rPr>
        <w:t xml:space="preserve">电通、路通、水通，开工前壹周内完成</w:t>
      </w:r>
      <w:r>
        <w:rPr>
          <w:rFonts w:hint="eastAsia" w:ascii="宋体" w:hAnsi="宋体" w:eastAsia="宋体" w:cs="宋体"/>
          <w:sz w:val="21"/>
          <w:szCs w:val="21"/>
          <w:highlight w:val="none"/>
        </w:rPr>
        <w:t xml:space="preserve">。</w:t>
      </w:r>
      <w:bookmarkEnd w:id="699"/>
      <w:r/>
      <w:bookmarkEnd w:id="700"/>
      <w:r/>
      <w:bookmarkEnd w:id="701"/>
      <w:r/>
      <w:bookmarkEnd w:id="702"/>
      <w:r/>
      <w:bookmarkEnd w:id="703"/>
      <w:r/>
      <w:bookmarkStart w:id="704" w:name="_Toc318581157"/>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1.10.4超大件和超重件的运输</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运输超大件或超重件所需的道路和桥梁临时加固改造费用和其他有关费用由</w:t>
      </w:r>
      <w:r>
        <w:rPr>
          <w:rFonts w:hint="eastAsia" w:ascii="宋体" w:hAnsi="宋体" w:eastAsia="宋体" w:cs="宋体"/>
          <w:sz w:val="21"/>
          <w:szCs w:val="21"/>
          <w:highlight w:val="none"/>
          <w:u w:val="single"/>
        </w:rPr>
        <w:t xml:space="preserve">承包人</w:t>
      </w:r>
      <w:r>
        <w:rPr>
          <w:rFonts w:hint="eastAsia" w:ascii="宋体" w:hAnsi="宋体" w:eastAsia="宋体" w:cs="宋体"/>
          <w:sz w:val="21"/>
          <w:szCs w:val="21"/>
          <w:highlight w:val="none"/>
        </w:rPr>
        <w:t xml:space="preserve">承担。</w:t>
      </w:r>
      <w:bookmarkEnd w:id="704"/>
      <w:r/>
      <w:r/>
    </w:p>
    <w:p>
      <w:pPr>
        <w:pStyle w:val="1342"/>
        <w:ind w:firstLine="422"/>
        <w:spacing w:line="440" w:lineRule="exact"/>
        <w:rPr>
          <w:rFonts w:hint="eastAsia" w:ascii="宋体" w:hAnsi="宋体" w:eastAsia="宋体" w:cs="宋体"/>
          <w:b/>
          <w:sz w:val="21"/>
          <w:szCs w:val="21"/>
          <w:highlight w:val="none"/>
        </w:rPr>
        <w:outlineLvl w:val="0"/>
      </w:pPr>
      <w:r/>
      <w:bookmarkStart w:id="705" w:name="_Toc30622601"/>
      <w:r/>
      <w:bookmarkStart w:id="706" w:name="_Toc499560834"/>
      <w:r/>
      <w:bookmarkStart w:id="707" w:name="_Toc472686045"/>
      <w:r/>
      <w:bookmarkStart w:id="708" w:name="_Toc41327805"/>
      <w:r/>
      <w:bookmarkStart w:id="709" w:name="_Toc467144131"/>
      <w:r/>
      <w:bookmarkStart w:id="710" w:name="_Toc11671819"/>
      <w:r/>
      <w:bookmarkStart w:id="711" w:name="_Toc30004142"/>
      <w:r/>
      <w:bookmarkStart w:id="712" w:name="_Toc9974932"/>
      <w:r/>
      <w:bookmarkStart w:id="713" w:name="_Toc54867149"/>
      <w:r/>
      <w:bookmarkStart w:id="714" w:name="_Toc473034364"/>
      <w:r/>
      <w:bookmarkStart w:id="715" w:name="_Toc119597886"/>
      <w:r>
        <w:rPr>
          <w:rFonts w:hint="eastAsia" w:ascii="宋体" w:hAnsi="宋体" w:eastAsia="宋体" w:cs="宋体"/>
          <w:b/>
          <w:sz w:val="21"/>
          <w:szCs w:val="21"/>
          <w:highlight w:val="none"/>
        </w:rPr>
        <w:t xml:space="preserve">1.11 知识产权</w:t>
      </w:r>
      <w:bookmarkEnd w:id="705"/>
      <w:r/>
      <w:bookmarkEnd w:id="706"/>
      <w:r/>
      <w:bookmarkEnd w:id="707"/>
      <w:r/>
      <w:bookmarkEnd w:id="708"/>
      <w:r/>
      <w:bookmarkEnd w:id="709"/>
      <w:r/>
      <w:bookmarkEnd w:id="710"/>
      <w:r/>
      <w:bookmarkEnd w:id="711"/>
      <w:r/>
      <w:bookmarkEnd w:id="712"/>
      <w:r/>
      <w:bookmarkEnd w:id="713"/>
      <w:r/>
      <w:bookmarkEnd w:id="714"/>
      <w:r/>
      <w:bookmarkEnd w:id="715"/>
      <w:r/>
      <w:r/>
    </w:p>
    <w:p>
      <w:pPr>
        <w:pStyle w:val="1342"/>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highlight w:val="none"/>
          <w:u w:val="single"/>
        </w:rPr>
        <w:t xml:space="preserve">发包人</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关于发包人提供的上述文件的使用限制的要求：</w:t>
      </w:r>
      <w:r>
        <w:rPr>
          <w:rFonts w:hint="eastAsia" w:ascii="宋体" w:hAnsi="宋体" w:eastAsia="宋体" w:cs="宋体"/>
          <w:sz w:val="21"/>
          <w:szCs w:val="21"/>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1.11.2 关于承包人为实施工程所编制文件的著作权的归属：</w:t>
      </w:r>
      <w:r>
        <w:rPr>
          <w:rFonts w:hint="eastAsia" w:ascii="宋体" w:hAnsi="宋体" w:eastAsia="宋体" w:cs="宋体"/>
          <w:sz w:val="21"/>
          <w:szCs w:val="21"/>
          <w:highlight w:val="none"/>
          <w:u w:val="single"/>
        </w:rPr>
        <w:t xml:space="preserve">发包人</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关于承包人提供的上述文件的使用限制的要求：</w:t>
      </w:r>
      <w:r>
        <w:rPr>
          <w:rFonts w:hint="eastAsia" w:ascii="宋体" w:hAnsi="宋体" w:eastAsia="宋体" w:cs="宋体"/>
          <w:sz w:val="21"/>
          <w:szCs w:val="21"/>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pStyle w:val="1342"/>
        <w:ind w:firstLine="420"/>
        <w:spacing w:line="440" w:lineRule="exact"/>
        <w:rPr>
          <w:rFonts w:hint="eastAsia" w:ascii="宋体" w:hAnsi="宋体" w:eastAsia="宋体" w:cs="宋体"/>
          <w:sz w:val="21"/>
          <w:szCs w:val="21"/>
          <w:highlight w:val="none"/>
        </w:rPr>
        <w:outlineLvl w:val="0"/>
      </w:pPr>
      <w:r/>
      <w:bookmarkStart w:id="716" w:name="_Toc30622602"/>
      <w:r/>
      <w:bookmarkStart w:id="717" w:name="_Toc499560835"/>
      <w:r/>
      <w:bookmarkStart w:id="718" w:name="_Toc467144132"/>
      <w:r/>
      <w:bookmarkStart w:id="719" w:name="_Toc30004143"/>
      <w:r/>
      <w:bookmarkStart w:id="720" w:name="_Toc472686046"/>
      <w:r/>
      <w:bookmarkStart w:id="721" w:name="_Toc11671820"/>
      <w:r/>
      <w:bookmarkStart w:id="722" w:name="_Toc54867150"/>
      <w:r/>
      <w:bookmarkStart w:id="723" w:name="_Toc9974933"/>
      <w:r/>
      <w:bookmarkStart w:id="724" w:name="_Toc473034365"/>
      <w:r/>
      <w:bookmarkStart w:id="725" w:name="_Toc41327806"/>
      <w:r/>
      <w:bookmarkStart w:id="726" w:name="_Toc119597887"/>
      <w:r>
        <w:rPr>
          <w:rFonts w:hint="eastAsia" w:ascii="宋体" w:hAnsi="宋体" w:eastAsia="宋体" w:cs="宋体"/>
          <w:sz w:val="21"/>
          <w:szCs w:val="21"/>
          <w:highlight w:val="none"/>
        </w:rPr>
        <w:t xml:space="preserve">1.11.4 承包人在施工过程中所采用的专利、专有技术、技术秘密的使用费的承担方式：</w:t>
      </w:r>
      <w:r>
        <w:rPr>
          <w:rFonts w:hint="eastAsia" w:ascii="宋体" w:hAnsi="宋体" w:eastAsia="宋体" w:cs="宋体"/>
          <w:sz w:val="21"/>
          <w:szCs w:val="21"/>
          <w:highlight w:val="none"/>
          <w:u w:val="single"/>
        </w:rPr>
        <w:t xml:space="preserve">已包含在签约合同价中</w:t>
      </w:r>
      <w:r>
        <w:rPr>
          <w:rFonts w:hint="eastAsia" w:ascii="宋体" w:hAnsi="宋体" w:eastAsia="宋体" w:cs="宋体"/>
          <w:sz w:val="21"/>
          <w:szCs w:val="21"/>
          <w:highlight w:val="none"/>
        </w:rPr>
        <w:t xml:space="preserve">。</w:t>
      </w:r>
      <w:bookmarkEnd w:id="716"/>
      <w:r/>
      <w:bookmarkEnd w:id="717"/>
      <w:r/>
      <w:bookmarkEnd w:id="718"/>
      <w:r/>
      <w:bookmarkEnd w:id="719"/>
      <w:r/>
      <w:bookmarkEnd w:id="720"/>
      <w:r/>
      <w:bookmarkEnd w:id="721"/>
      <w:r/>
      <w:bookmarkEnd w:id="722"/>
      <w:r/>
      <w:bookmarkEnd w:id="723"/>
      <w:r/>
      <w:bookmarkEnd w:id="724"/>
      <w:r/>
      <w:bookmarkEnd w:id="725"/>
      <w:r/>
      <w:bookmarkEnd w:id="726"/>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1.13工程量清单错误的修正</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出现工程量清单错误时，是否调整合同价格：</w:t>
      </w:r>
      <w:r>
        <w:rPr>
          <w:rFonts w:hint="eastAsia" w:ascii="宋体" w:hAnsi="宋体" w:eastAsia="宋体" w:cs="宋体"/>
          <w:sz w:val="21"/>
          <w:szCs w:val="21"/>
          <w:highlight w:val="none"/>
          <w:u w:val="single"/>
        </w:rPr>
        <w:t xml:space="preserve"> 是</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允许调整合同价格的工程量偏差范围：</w:t>
      </w:r>
      <w:r>
        <w:rPr>
          <w:rFonts w:hint="eastAsia" w:ascii="宋体" w:hAnsi="宋体" w:eastAsia="宋体" w:cs="宋体"/>
          <w:sz w:val="21"/>
          <w:szCs w:val="21"/>
          <w:highlight w:val="none"/>
          <w:u w:val="single"/>
        </w:rPr>
        <w:t xml:space="preserve">执行计价规定</w:t>
      </w:r>
      <w:r>
        <w:rPr>
          <w:rFonts w:hint="eastAsia" w:ascii="宋体" w:hAnsi="宋体" w:eastAsia="宋体" w:cs="宋体"/>
          <w:sz w:val="21"/>
          <w:szCs w:val="21"/>
          <w:highlight w:val="none"/>
        </w:rPr>
        <w:t xml:space="preserve">。</w:t>
      </w:r>
      <w:r/>
    </w:p>
    <w:p>
      <w:pPr>
        <w:pStyle w:val="1341"/>
        <w:spacing w:before="0" w:after="0" w:line="440" w:lineRule="exact"/>
        <w:rPr>
          <w:rFonts w:hint="eastAsia" w:ascii="宋体" w:hAnsi="宋体" w:eastAsia="宋体" w:cs="宋体"/>
          <w:sz w:val="21"/>
          <w:szCs w:val="21"/>
          <w:highlight w:val="none"/>
        </w:rPr>
      </w:pPr>
      <w:r/>
      <w:bookmarkStart w:id="727" w:name="_Toc351203634"/>
      <w:r>
        <w:rPr>
          <w:rFonts w:hint="eastAsia" w:ascii="宋体" w:hAnsi="宋体" w:eastAsia="宋体" w:cs="宋体"/>
          <w:sz w:val="21"/>
          <w:szCs w:val="21"/>
          <w:highlight w:val="none"/>
        </w:rPr>
        <w:t xml:space="preserve">2</w:t>
      </w:r>
      <w:bookmarkStart w:id="728" w:name="_Toc297120457"/>
      <w:r/>
      <w:bookmarkStart w:id="729" w:name="_Toc292559362"/>
      <w:r/>
      <w:bookmarkStart w:id="730" w:name="_Toc296346658"/>
      <w:r/>
      <w:bookmarkStart w:id="731" w:name="_Toc297048343"/>
      <w:r/>
      <w:bookmarkStart w:id="732" w:name="_Toc292559867"/>
      <w:r/>
      <w:bookmarkStart w:id="733" w:name="_Toc296347156"/>
      <w:r/>
      <w:bookmarkStart w:id="734" w:name="_Toc296890985"/>
      <w:r/>
      <w:bookmarkStart w:id="735" w:name="_Toc296944496"/>
      <w:r/>
      <w:bookmarkStart w:id="736" w:name="_Toc296891197"/>
      <w:r/>
      <w:bookmarkStart w:id="737" w:name="_Toc296503157"/>
      <w:r>
        <w:rPr>
          <w:rFonts w:hint="eastAsia" w:ascii="宋体" w:hAnsi="宋体" w:eastAsia="宋体" w:cs="宋体"/>
          <w:sz w:val="21"/>
          <w:szCs w:val="21"/>
          <w:highlight w:val="none"/>
        </w:rPr>
        <w:t xml:space="preserve">. 发包人</w:t>
      </w:r>
      <w:bookmarkEnd w:id="727"/>
      <w:r/>
      <w:bookmarkEnd w:id="728"/>
      <w:r/>
      <w:bookmarkEnd w:id="729"/>
      <w:r/>
      <w:bookmarkEnd w:id="730"/>
      <w:r/>
      <w:bookmarkEnd w:id="731"/>
      <w:r/>
      <w:bookmarkEnd w:id="732"/>
      <w:r/>
      <w:bookmarkEnd w:id="733"/>
      <w:r/>
      <w:bookmarkEnd w:id="734"/>
      <w:r/>
      <w:bookmarkEnd w:id="735"/>
      <w:r/>
      <w:bookmarkEnd w:id="736"/>
      <w:r/>
      <w:bookmarkEnd w:id="737"/>
      <w:r/>
      <w:r/>
    </w:p>
    <w:p>
      <w:pPr>
        <w:pStyle w:val="1342"/>
        <w:ind w:firstLine="422"/>
        <w:spacing w:line="440" w:lineRule="exact"/>
        <w:rPr>
          <w:rFonts w:hint="eastAsia" w:ascii="宋体" w:hAnsi="宋体" w:eastAsia="宋体" w:cs="宋体"/>
          <w:b/>
          <w:sz w:val="21"/>
          <w:szCs w:val="21"/>
          <w:highlight w:val="none"/>
        </w:rPr>
        <w:outlineLvl w:val="0"/>
      </w:pPr>
      <w:r/>
      <w:bookmarkStart w:id="738" w:name="_Toc54867151"/>
      <w:r/>
      <w:bookmarkStart w:id="739" w:name="_Toc472686047"/>
      <w:r/>
      <w:bookmarkStart w:id="740" w:name="_Toc30004144"/>
      <w:r/>
      <w:bookmarkStart w:id="741" w:name="_Toc41327807"/>
      <w:r/>
      <w:bookmarkStart w:id="742" w:name="_Toc30622603"/>
      <w:r/>
      <w:bookmarkStart w:id="743" w:name="_Toc11671821"/>
      <w:r/>
      <w:bookmarkStart w:id="744" w:name="_Toc9974934"/>
      <w:r/>
      <w:bookmarkStart w:id="745" w:name="_Toc119597888"/>
      <w:r/>
      <w:bookmarkStart w:id="746" w:name="_Toc499560836"/>
      <w:r/>
      <w:bookmarkStart w:id="747" w:name="_Toc473034366"/>
      <w:r/>
      <w:bookmarkStart w:id="748" w:name="_Toc467144133"/>
      <w:r>
        <w:rPr>
          <w:rFonts w:hint="eastAsia" w:ascii="宋体" w:hAnsi="宋体" w:eastAsia="宋体" w:cs="宋体"/>
          <w:b/>
          <w:sz w:val="21"/>
          <w:szCs w:val="21"/>
          <w:highlight w:val="none"/>
        </w:rPr>
        <w:t xml:space="preserve">2.2 发包人代表</w:t>
      </w:r>
      <w:bookmarkEnd w:id="738"/>
      <w:r/>
      <w:bookmarkEnd w:id="739"/>
      <w:r/>
      <w:bookmarkEnd w:id="740"/>
      <w:r/>
      <w:bookmarkEnd w:id="741"/>
      <w:r/>
      <w:bookmarkEnd w:id="742"/>
      <w:r/>
      <w:bookmarkEnd w:id="743"/>
      <w:r/>
      <w:bookmarkEnd w:id="744"/>
      <w:r/>
      <w:bookmarkEnd w:id="745"/>
      <w:r/>
      <w:bookmarkEnd w:id="746"/>
      <w:r/>
      <w:bookmarkEnd w:id="747"/>
      <w:r/>
      <w:bookmarkEnd w:id="748"/>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发包人代表：</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    务：；</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p>
    <w:p>
      <w:pPr>
        <w:pStyle w:val="1342"/>
        <w:ind w:firstLine="420"/>
        <w:spacing w:line="44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发包人对发包人代表的授权范围如下：</w:t>
      </w:r>
      <w:r>
        <w:rPr>
          <w:rFonts w:hint="eastAsia" w:ascii="宋体" w:hAnsi="宋体" w:eastAsia="宋体" w:cs="宋体"/>
          <w:sz w:val="21"/>
          <w:szCs w:val="21"/>
          <w:highlight w:val="none"/>
          <w:u w:val="single"/>
        </w:rPr>
        <w:t xml:space="preserve">工程价款洽商、索赔事项的处理、合同的变更等，需要在监理人的配合下完成，但最终需经发包人书面同意。</w:t>
      </w:r>
      <w:r/>
    </w:p>
    <w:p>
      <w:pPr>
        <w:pStyle w:val="1342"/>
        <w:ind w:firstLine="422"/>
        <w:spacing w:line="440" w:lineRule="exact"/>
        <w:rPr>
          <w:rFonts w:hint="eastAsia" w:ascii="宋体" w:hAnsi="宋体" w:eastAsia="宋体" w:cs="宋体"/>
          <w:b/>
          <w:sz w:val="21"/>
          <w:szCs w:val="21"/>
          <w:highlight w:val="none"/>
        </w:rPr>
        <w:outlineLvl w:val="0"/>
      </w:pPr>
      <w:r/>
      <w:bookmarkStart w:id="749" w:name="_Toc30004145"/>
      <w:r/>
      <w:bookmarkStart w:id="750" w:name="_Toc472686048"/>
      <w:r/>
      <w:bookmarkStart w:id="751" w:name="_Toc9974935"/>
      <w:r/>
      <w:bookmarkStart w:id="752" w:name="_Toc473034367"/>
      <w:r/>
      <w:bookmarkStart w:id="753" w:name="_Toc54867152"/>
      <w:r/>
      <w:bookmarkStart w:id="754" w:name="_Toc119597889"/>
      <w:r/>
      <w:bookmarkStart w:id="755" w:name="_Toc467144134"/>
      <w:r/>
      <w:bookmarkStart w:id="756" w:name="_Toc11671822"/>
      <w:r/>
      <w:bookmarkStart w:id="757" w:name="_Toc41327808"/>
      <w:r/>
      <w:bookmarkStart w:id="758" w:name="_Toc30622604"/>
      <w:r/>
      <w:bookmarkStart w:id="759" w:name="_Toc499560837"/>
      <w:r>
        <w:rPr>
          <w:rFonts w:hint="eastAsia" w:ascii="宋体" w:hAnsi="宋体" w:eastAsia="宋体" w:cs="宋体"/>
          <w:b/>
          <w:sz w:val="21"/>
          <w:szCs w:val="21"/>
          <w:highlight w:val="none"/>
        </w:rPr>
        <w:t xml:space="preserve">2.4 施工现场、施工条件和基础资料的提供</w:t>
      </w:r>
      <w:bookmarkEnd w:id="749"/>
      <w:r/>
      <w:bookmarkEnd w:id="750"/>
      <w:r/>
      <w:bookmarkEnd w:id="751"/>
      <w:r/>
      <w:bookmarkEnd w:id="752"/>
      <w:r/>
      <w:bookmarkEnd w:id="753"/>
      <w:r/>
      <w:bookmarkEnd w:id="754"/>
      <w:r/>
      <w:bookmarkEnd w:id="755"/>
      <w:r/>
      <w:bookmarkEnd w:id="756"/>
      <w:r/>
      <w:bookmarkEnd w:id="757"/>
      <w:r/>
      <w:bookmarkEnd w:id="758"/>
      <w:r/>
      <w:bookmarkEnd w:id="759"/>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 提供施工现场</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关于发包人移交施工现场的期限要求：</w:t>
      </w:r>
      <w:r>
        <w:rPr>
          <w:rFonts w:hint="eastAsia" w:ascii="宋体" w:hAnsi="宋体" w:eastAsia="宋体" w:cs="宋体"/>
          <w:sz w:val="21"/>
          <w:szCs w:val="21"/>
          <w:highlight w:val="none"/>
          <w:u w:val="single"/>
        </w:rPr>
        <w:t xml:space="preserve">开工前壹周内</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 提供施工条件</w:t>
      </w:r>
      <w:r/>
    </w:p>
    <w:p>
      <w:pPr>
        <w:pStyle w:val="1342"/>
        <w:ind w:firstLine="420"/>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关于发包人应负责提供施工所需要的条件，包括：</w:t>
      </w:r>
      <w:r>
        <w:rPr>
          <w:rFonts w:hint="eastAsia" w:ascii="宋体" w:hAnsi="宋体" w:eastAsia="宋体" w:cs="宋体"/>
          <w:sz w:val="21"/>
          <w:szCs w:val="21"/>
          <w:highlight w:val="none"/>
          <w:u w:val="single"/>
        </w:rPr>
        <w:t xml:space="preserve">将施工用水、电力线路等施工所必需的条件接至施工现场内；向承包人提供正常施工所需要的进入施工现场的交通条件；协调处理施工现场周围地下管线和邻近建筑物、构筑物、古树名木的保护工作，并承担相关费用；其他有关基础资料。</w:t>
      </w:r>
      <w:r/>
    </w:p>
    <w:p>
      <w:pPr>
        <w:pStyle w:val="1342"/>
        <w:ind w:firstLine="422"/>
        <w:spacing w:line="440" w:lineRule="exact"/>
        <w:rPr>
          <w:rFonts w:hint="eastAsia" w:ascii="宋体" w:hAnsi="宋体" w:eastAsia="宋体" w:cs="宋体"/>
          <w:b/>
          <w:sz w:val="21"/>
          <w:szCs w:val="21"/>
          <w:highlight w:val="none"/>
        </w:rPr>
        <w:outlineLvl w:val="0"/>
      </w:pPr>
      <w:r/>
      <w:bookmarkStart w:id="760" w:name="_Toc472686049"/>
      <w:r/>
      <w:bookmarkStart w:id="761" w:name="_Toc54867153"/>
      <w:r/>
      <w:bookmarkStart w:id="762" w:name="_Toc30004146"/>
      <w:r/>
      <w:bookmarkStart w:id="763" w:name="_Toc119597890"/>
      <w:r/>
      <w:bookmarkStart w:id="764" w:name="_Toc473034368"/>
      <w:r/>
      <w:bookmarkStart w:id="765" w:name="_Toc30622605"/>
      <w:r/>
      <w:bookmarkStart w:id="766" w:name="_Toc41327809"/>
      <w:r/>
      <w:bookmarkStart w:id="767" w:name="_Toc9974936"/>
      <w:r/>
      <w:bookmarkStart w:id="768" w:name="_Toc11671823"/>
      <w:r/>
      <w:bookmarkStart w:id="769" w:name="_Toc467144135"/>
      <w:r/>
      <w:bookmarkStart w:id="770" w:name="_Toc499560838"/>
      <w:r>
        <w:rPr>
          <w:rFonts w:hint="eastAsia" w:ascii="宋体" w:hAnsi="宋体" w:eastAsia="宋体" w:cs="宋体"/>
          <w:b/>
          <w:sz w:val="21"/>
          <w:szCs w:val="21"/>
          <w:highlight w:val="none"/>
        </w:rPr>
        <w:t xml:space="preserve">2.5 资金来源证明及支付担保</w:t>
      </w:r>
      <w:bookmarkEnd w:id="760"/>
      <w:r/>
      <w:bookmarkEnd w:id="761"/>
      <w:r/>
      <w:bookmarkEnd w:id="762"/>
      <w:r/>
      <w:bookmarkEnd w:id="763"/>
      <w:r/>
      <w:bookmarkEnd w:id="764"/>
      <w:r/>
      <w:bookmarkEnd w:id="765"/>
      <w:r/>
      <w:bookmarkEnd w:id="766"/>
      <w:r/>
      <w:bookmarkEnd w:id="767"/>
      <w:r/>
      <w:bookmarkEnd w:id="768"/>
      <w:r/>
      <w:bookmarkEnd w:id="769"/>
      <w:r/>
      <w:bookmarkEnd w:id="770"/>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发包人提供资金来源证明的期限要求：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发包人是否提供支付担保：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发包人提供支付担保的形式：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1"/>
        <w:spacing w:before="0" w:after="0" w:line="440" w:lineRule="exact"/>
        <w:rPr>
          <w:rFonts w:hint="eastAsia" w:ascii="宋体" w:hAnsi="宋体" w:eastAsia="宋体" w:cs="宋体"/>
          <w:sz w:val="21"/>
          <w:szCs w:val="21"/>
          <w:highlight w:val="none"/>
        </w:rPr>
      </w:pPr>
      <w:r/>
      <w:bookmarkStart w:id="771" w:name="_Toc351203635"/>
      <w:r>
        <w:rPr>
          <w:rFonts w:hint="eastAsia" w:ascii="宋体" w:hAnsi="宋体" w:eastAsia="宋体" w:cs="宋体"/>
          <w:sz w:val="21"/>
          <w:szCs w:val="21"/>
          <w:highlight w:val="none"/>
        </w:rPr>
        <w:t xml:space="preserve">3</w:t>
      </w:r>
      <w:bookmarkStart w:id="772" w:name="_Toc292559868"/>
      <w:r/>
      <w:bookmarkStart w:id="773" w:name="_Toc296891198"/>
      <w:r/>
      <w:bookmarkStart w:id="774" w:name="_Toc297120458"/>
      <w:r/>
      <w:bookmarkStart w:id="775" w:name="_Toc296503158"/>
      <w:r/>
      <w:bookmarkStart w:id="776" w:name="_Toc297048344"/>
      <w:r/>
      <w:bookmarkStart w:id="777" w:name="_Toc292559363"/>
      <w:r/>
      <w:bookmarkStart w:id="778" w:name="_Toc296944497"/>
      <w:r/>
      <w:bookmarkStart w:id="779" w:name="_Toc296347157"/>
      <w:r/>
      <w:bookmarkStart w:id="780" w:name="_Toc296890986"/>
      <w:r/>
      <w:bookmarkStart w:id="781" w:name="_Toc296346659"/>
      <w:r>
        <w:rPr>
          <w:rFonts w:hint="eastAsia" w:ascii="宋体" w:hAnsi="宋体" w:eastAsia="宋体" w:cs="宋体"/>
          <w:sz w:val="21"/>
          <w:szCs w:val="21"/>
          <w:highlight w:val="none"/>
        </w:rPr>
        <w:t xml:space="preserve">. 承包人</w:t>
      </w:r>
      <w:bookmarkEnd w:id="771"/>
      <w:r/>
      <w:bookmarkEnd w:id="772"/>
      <w:r/>
      <w:bookmarkEnd w:id="773"/>
      <w:r/>
      <w:bookmarkEnd w:id="774"/>
      <w:r/>
      <w:bookmarkEnd w:id="775"/>
      <w:r/>
      <w:bookmarkEnd w:id="776"/>
      <w:r/>
      <w:bookmarkEnd w:id="777"/>
      <w:r/>
      <w:bookmarkEnd w:id="778"/>
      <w:r/>
      <w:bookmarkEnd w:id="779"/>
      <w:r/>
      <w:bookmarkEnd w:id="780"/>
      <w:r/>
      <w:bookmarkEnd w:id="781"/>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3.1 承包人的一般义务</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（9）承包人提交的竣工资料的内容：</w:t>
      </w:r>
      <w:r>
        <w:rPr>
          <w:rFonts w:hint="eastAsia" w:ascii="宋体" w:hAnsi="宋体" w:eastAsia="宋体" w:cs="宋体"/>
          <w:sz w:val="21"/>
          <w:szCs w:val="21"/>
          <w:highlight w:val="none"/>
          <w:u w:val="single"/>
        </w:rPr>
        <w:t xml:space="preserve">按照法律法规和当地竣工验收备案部门的有关规定，完成竣工资料的立卷及归档 </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承包人需要提交的竣工资料套数：</w:t>
      </w:r>
      <w:r>
        <w:rPr>
          <w:rFonts w:hint="eastAsia" w:ascii="宋体" w:hAnsi="宋体" w:eastAsia="宋体" w:cs="宋体"/>
          <w:sz w:val="21"/>
          <w:szCs w:val="21"/>
          <w:highlight w:val="none"/>
          <w:u w:val="single"/>
        </w:rPr>
        <w:t xml:space="preserve">按照法律法规和当地竣工验收备案部门的有关规定</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承包人提交的竣工资料的费用承担：</w:t>
      </w:r>
      <w:r>
        <w:rPr>
          <w:rFonts w:hint="eastAsia" w:ascii="宋体" w:hAnsi="宋体" w:eastAsia="宋体" w:cs="宋体"/>
          <w:sz w:val="21"/>
          <w:szCs w:val="21"/>
          <w:highlight w:val="none"/>
          <w:u w:val="single"/>
        </w:rPr>
        <w:t xml:space="preserve">由承包人自行承担</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承包人提交的竣工资料移交时间：</w:t>
      </w:r>
      <w:r>
        <w:rPr>
          <w:rFonts w:hint="eastAsia" w:ascii="宋体" w:hAnsi="宋体" w:eastAsia="宋体" w:cs="宋体"/>
          <w:sz w:val="21"/>
          <w:szCs w:val="21"/>
          <w:highlight w:val="none"/>
          <w:u w:val="single"/>
        </w:rPr>
        <w:t xml:space="preserve">验收合格一个月之内</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承包人提交的竣工资料形式要求：</w:t>
      </w:r>
      <w:r>
        <w:rPr>
          <w:rFonts w:hint="eastAsia" w:ascii="宋体" w:hAnsi="宋体" w:eastAsia="宋体" w:cs="宋体"/>
          <w:sz w:val="21"/>
          <w:szCs w:val="21"/>
          <w:highlight w:val="none"/>
          <w:u w:val="single"/>
        </w:rPr>
        <w:t xml:space="preserve"> 书面资料及电子文档  </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（10）承包人应履行的其他义务：</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3.2 项目经理</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3.2.1 项目经理：</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建造师执业资格等级：；</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建造师注册证书号：；</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建造师执业印章号：；</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安全生产考核合格证书号：；</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承包人对项目经理的授权范围如下：</w:t>
      </w:r>
      <w:r>
        <w:rPr>
          <w:rFonts w:hint="eastAsia" w:ascii="宋体" w:hAnsi="宋体" w:eastAsia="宋体" w:cs="宋体"/>
          <w:sz w:val="21"/>
          <w:szCs w:val="21"/>
          <w:highlight w:val="none"/>
          <w:u w:val="single"/>
        </w:rPr>
        <w:t xml:space="preserve">代表承包商履行合同所必需的一切权力</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关于项目经理每月在施工现场的时间要求：</w:t>
      </w:r>
      <w:r>
        <w:rPr>
          <w:rFonts w:hint="eastAsia" w:ascii="宋体" w:hAnsi="宋体" w:eastAsia="宋体" w:cs="宋体"/>
          <w:sz w:val="21"/>
          <w:szCs w:val="21"/>
          <w:highlight w:val="none"/>
          <w:u w:val="single"/>
        </w:rPr>
        <w:t xml:space="preserve">每周不少于 5 天，且不少于 40 小时</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承包人未提交劳动合同，以及没有为项目经理缴纳社会保险证明的违约责任：</w:t>
      </w:r>
      <w:r>
        <w:rPr>
          <w:rFonts w:hint="eastAsia" w:ascii="宋体" w:hAnsi="宋体" w:eastAsia="宋体" w:cs="宋体"/>
          <w:sz w:val="21"/>
          <w:szCs w:val="21"/>
          <w:highlight w:val="none"/>
          <w:u w:val="single"/>
        </w:rPr>
        <w:t xml:space="preserve"> 取消中标资格，并上报行政主管部门  </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项目经理未经批准，擅自离开施工现场的违约责任：</w:t>
      </w:r>
      <w:r>
        <w:rPr>
          <w:rFonts w:hint="eastAsia" w:ascii="宋体" w:hAnsi="宋体" w:eastAsia="宋体" w:cs="宋体"/>
          <w:sz w:val="21"/>
          <w:szCs w:val="21"/>
          <w:highlight w:val="none"/>
          <w:u w:val="single"/>
        </w:rPr>
        <w:t xml:space="preserve">发包人抽查发现不在现场计 5000 元/次的罚款，一个月内累计擅自离岗三次以上，其公司一年内不得参加我处实施施工项目的投标</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3.2.3 承包人擅自更换项目经理的违约责任：</w:t>
      </w:r>
      <w:r>
        <w:rPr>
          <w:rFonts w:hint="eastAsia" w:ascii="宋体" w:hAnsi="宋体" w:eastAsia="宋体" w:cs="宋体"/>
          <w:sz w:val="21"/>
          <w:szCs w:val="21"/>
          <w:highlight w:val="none"/>
          <w:u w:val="single"/>
        </w:rPr>
        <w:t xml:space="preserve">承包人的项目负责人及项目部组成人员与投标时不一致，又未经发包人同意更换，则发包人可自行解除施工合同并没收履约保证金，并保留进一步追究其责任的权利</w:t>
      </w:r>
      <w:r>
        <w:rPr>
          <w:rFonts w:hint="eastAsia" w:ascii="宋体" w:hAnsi="宋体" w:eastAsia="宋体" w:cs="宋体"/>
          <w:sz w:val="21"/>
          <w:szCs w:val="21"/>
          <w:highlight w:val="none"/>
        </w:rPr>
        <w:t xml:space="preserve">。</w:t>
      </w:r>
      <w:r/>
    </w:p>
    <w:p>
      <w:pPr>
        <w:pStyle w:val="1342"/>
        <w:spacing w:line="440" w:lineRule="exact"/>
        <w:rPr>
          <w:rFonts w:hint="eastAsia" w:ascii="宋体" w:hAnsi="宋体" w:eastAsia="宋体" w:cs="宋体"/>
          <w:sz w:val="21"/>
          <w:szCs w:val="21"/>
          <w:highlight w:val="none"/>
          <w:u w:val="single"/>
        </w:rPr>
        <w:outlineLvl w:val="0"/>
      </w:pPr>
      <w:r/>
      <w:bookmarkStart w:id="782" w:name="_Toc30004147"/>
      <w:r/>
      <w:bookmarkStart w:id="783" w:name="_Toc119597891"/>
      <w:r/>
      <w:bookmarkStart w:id="784" w:name="_Toc11671824"/>
      <w:r/>
      <w:bookmarkStart w:id="785" w:name="_Toc54867154"/>
      <w:r/>
      <w:bookmarkStart w:id="786" w:name="_Toc499560839"/>
      <w:r/>
      <w:bookmarkStart w:id="787" w:name="_Toc30622606"/>
      <w:r/>
      <w:bookmarkStart w:id="788" w:name="_Toc41327810"/>
      <w:r/>
      <w:bookmarkStart w:id="789" w:name="_Toc467144136"/>
      <w:r/>
      <w:bookmarkStart w:id="790" w:name="_Toc9974937"/>
      <w:r/>
      <w:bookmarkStart w:id="791" w:name="_Toc473034369"/>
      <w:r/>
      <w:bookmarkStart w:id="792" w:name="_Toc472686050"/>
      <w:r>
        <w:rPr>
          <w:rFonts w:hint="eastAsia" w:ascii="宋体" w:hAnsi="宋体" w:eastAsia="宋体" w:cs="宋体"/>
          <w:sz w:val="21"/>
          <w:szCs w:val="21"/>
          <w:highlight w:val="none"/>
        </w:rPr>
        <w:t xml:space="preserve">3.2.4 承包人无正当理由拒绝更换项目经理的违约责任：</w:t>
      </w:r>
      <w:r>
        <w:rPr>
          <w:rFonts w:hint="eastAsia" w:ascii="宋体" w:hAnsi="宋体" w:eastAsia="宋体" w:cs="宋体"/>
          <w:sz w:val="21"/>
          <w:szCs w:val="21"/>
          <w:highlight w:val="none"/>
          <w:u w:val="single"/>
        </w:rPr>
        <w:t xml:space="preserve">发包人有权责令停工整改，并由承包人按签约合同价的1‰承担违约金。</w:t>
      </w:r>
      <w:bookmarkEnd w:id="782"/>
      <w:r/>
      <w:bookmarkEnd w:id="783"/>
      <w:r/>
      <w:bookmarkEnd w:id="784"/>
      <w:r/>
      <w:bookmarkEnd w:id="785"/>
      <w:r/>
      <w:bookmarkEnd w:id="786"/>
      <w:r/>
      <w:bookmarkEnd w:id="787"/>
      <w:r/>
      <w:bookmarkEnd w:id="788"/>
      <w:r/>
      <w:bookmarkEnd w:id="789"/>
      <w:r/>
      <w:bookmarkEnd w:id="790"/>
      <w:r/>
      <w:bookmarkEnd w:id="791"/>
      <w:r/>
      <w:bookmarkEnd w:id="792"/>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3.3 承包人人员</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3.3.1 承包人提交项目管理机构及施工现场管理人员安排报告的期限：</w:t>
      </w:r>
      <w:r>
        <w:rPr>
          <w:rFonts w:hint="eastAsia" w:ascii="宋体" w:hAnsi="宋体" w:eastAsia="宋体" w:cs="宋体"/>
          <w:sz w:val="21"/>
          <w:szCs w:val="21"/>
          <w:highlight w:val="none"/>
          <w:u w:val="single"/>
        </w:rPr>
        <w:t xml:space="preserve">承包人应在接到开工通知后7天内，向监理人提交承包人项目管理机构及施工现场人员安排的报告</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 承包人无正当理由拒绝撤换主要施工管理人员的违约责任：</w:t>
      </w:r>
      <w:r>
        <w:rPr>
          <w:rFonts w:hint="eastAsia" w:ascii="宋体" w:hAnsi="宋体" w:eastAsia="宋体" w:cs="宋体"/>
          <w:sz w:val="21"/>
          <w:szCs w:val="21"/>
          <w:highlight w:val="none"/>
          <w:u w:val="single"/>
        </w:rPr>
        <w:t xml:space="preserve">责令停工整改，并处2000元人民币罚金每人，由此造成的损失由承包人承担</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3.3.4 承包人主要施工管理人员离开施工现场的批准要求：</w:t>
      </w:r>
      <w:r>
        <w:rPr>
          <w:rFonts w:hint="eastAsia" w:ascii="宋体" w:hAnsi="宋体" w:eastAsia="宋体" w:cs="宋体"/>
          <w:sz w:val="21"/>
          <w:szCs w:val="21"/>
          <w:highlight w:val="none"/>
          <w:u w:val="single"/>
        </w:rPr>
        <w:t xml:space="preserve">承包人的主要施工人员离开现场每月累计不超过5天，应报监理人同意。超过5天的，应通知监理人，并征得发包人书面同意</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3.3.5承包人擅自更换主要施工管理人员的违约责任：</w:t>
      </w:r>
      <w:r>
        <w:rPr>
          <w:rFonts w:hint="eastAsia" w:ascii="宋体" w:hAnsi="宋体" w:eastAsia="宋体" w:cs="宋体"/>
          <w:sz w:val="21"/>
          <w:szCs w:val="21"/>
          <w:highlight w:val="none"/>
          <w:u w:val="single"/>
        </w:rPr>
        <w:t xml:space="preserve">责令停工整改，并处2000元人民币罚金每人，由此造成的损失由承包人承担 </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承包人主要施工管理人员擅自离开施工现场的违约责任：</w:t>
      </w:r>
      <w:r>
        <w:rPr>
          <w:rFonts w:hint="eastAsia" w:ascii="宋体" w:hAnsi="宋体" w:eastAsia="宋体" w:cs="宋体"/>
          <w:sz w:val="21"/>
          <w:szCs w:val="21"/>
          <w:highlight w:val="none"/>
          <w:u w:val="single"/>
        </w:rPr>
        <w:t xml:space="preserve">处500元人民币罚金每次，由此造成的损失由承包人承担</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w:t>
      </w:r>
      <w:bookmarkStart w:id="793" w:name="_Toc296891199"/>
      <w:r/>
      <w:bookmarkStart w:id="794" w:name="_Toc296346660"/>
      <w:r/>
      <w:bookmarkStart w:id="795" w:name="_Toc300934945"/>
      <w:r/>
      <w:bookmarkStart w:id="796" w:name="_Toc297120459"/>
      <w:r/>
      <w:bookmarkStart w:id="797" w:name="_Toc297123492"/>
      <w:r/>
      <w:bookmarkStart w:id="798" w:name="_Toc303539102"/>
      <w:r/>
      <w:bookmarkStart w:id="799" w:name="_Toc292559364"/>
      <w:r/>
      <w:bookmarkStart w:id="800" w:name="_Toc297048345"/>
      <w:r/>
      <w:bookmarkStart w:id="801" w:name="_Toc304295523"/>
      <w:r/>
      <w:bookmarkStart w:id="802" w:name="_Toc297216151"/>
      <w:r/>
      <w:bookmarkStart w:id="803" w:name="_Toc296503159"/>
      <w:r/>
      <w:bookmarkStart w:id="804" w:name="_Toc296890987"/>
      <w:r/>
      <w:bookmarkStart w:id="805" w:name="_Toc312677988"/>
      <w:r/>
      <w:bookmarkStart w:id="806" w:name="_Toc296347158"/>
      <w:r/>
      <w:bookmarkStart w:id="807" w:name="_Toc296944498"/>
      <w:r/>
      <w:bookmarkStart w:id="808" w:name="_Toc292559869"/>
      <w:r>
        <w:rPr>
          <w:rFonts w:hint="eastAsia" w:ascii="宋体" w:hAnsi="宋体" w:eastAsia="宋体" w:cs="宋体"/>
          <w:b/>
          <w:sz w:val="21"/>
          <w:szCs w:val="21"/>
          <w:highlight w:val="none"/>
        </w:rPr>
        <w:t xml:space="preserve">.5 分包</w:t>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bookmarkStart w:id="809" w:name="_Toc296891200"/>
      <w:r/>
      <w:bookmarkStart w:id="810" w:name="_Toc296890988"/>
      <w:r/>
      <w:bookmarkStart w:id="811" w:name="_Toc296347159"/>
      <w:r/>
      <w:bookmarkStart w:id="812" w:name="_Toc292559365"/>
      <w:r/>
      <w:bookmarkStart w:id="813" w:name="_Toc304295524"/>
      <w:r/>
      <w:bookmarkStart w:id="814" w:name="_Toc292559870"/>
      <w:r/>
      <w:bookmarkStart w:id="815" w:name="_Toc297216152"/>
      <w:r/>
      <w:bookmarkStart w:id="816" w:name="_Toc296503160"/>
      <w:r/>
      <w:bookmarkStart w:id="817" w:name="_Toc297120460"/>
      <w:r/>
      <w:bookmarkStart w:id="818" w:name="_Toc296944499"/>
      <w:r/>
      <w:bookmarkStart w:id="819" w:name="_Toc303539103"/>
      <w:r/>
      <w:bookmarkStart w:id="820" w:name="_Toc300934946"/>
      <w:r/>
      <w:bookmarkStart w:id="821" w:name="_Toc312677989"/>
      <w:r/>
      <w:bookmarkStart w:id="822" w:name="_Toc297123493"/>
      <w:r/>
      <w:bookmarkStart w:id="823" w:name="_Toc297048346"/>
      <w:r/>
      <w:bookmarkStart w:id="824" w:name="_Toc296346661"/>
      <w:r/>
      <w:bookmarkStart w:id="825" w:name="_Toc318581158"/>
      <w:r>
        <w:rPr>
          <w:rFonts w:hint="eastAsia" w:ascii="宋体" w:hAnsi="宋体" w:eastAsia="宋体" w:cs="宋体"/>
          <w:sz w:val="21"/>
          <w:szCs w:val="21"/>
          <w:highlight w:val="none"/>
        </w:rPr>
        <w:t xml:space="preserve">.5.1 分包的一般约定</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禁止分包的工程包括：</w:t>
      </w:r>
      <w:r>
        <w:rPr>
          <w:rFonts w:hint="eastAsia" w:ascii="宋体" w:hAnsi="宋体" w:eastAsia="宋体" w:cs="宋体"/>
          <w:sz w:val="21"/>
          <w:szCs w:val="21"/>
          <w:highlight w:val="none"/>
          <w:u w:val="single"/>
        </w:rPr>
        <w:t xml:space="preserve">主体结构、关键性工作</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主体结构、关键性工作的范围：</w:t>
      </w:r>
      <w:r>
        <w:rPr>
          <w:rFonts w:hint="eastAsia" w:ascii="宋体" w:hAnsi="宋体" w:eastAsia="宋体" w:cs="宋体"/>
          <w:sz w:val="21"/>
          <w:szCs w:val="21"/>
          <w:highlight w:val="none"/>
          <w:u w:val="single"/>
        </w:rPr>
        <w:t xml:space="preserve">根据规范要求</w:t>
      </w:r>
      <w:r>
        <w:rPr>
          <w:rFonts w:hint="eastAsia" w:ascii="宋体" w:hAnsi="宋体" w:eastAsia="宋体" w:cs="宋体"/>
          <w:sz w:val="21"/>
          <w:szCs w:val="21"/>
          <w:highlight w:val="none"/>
        </w:rPr>
        <w:t xml:space="preserve">。</w:t>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Start w:id="826" w:name="_Toc297120461"/>
      <w:r/>
      <w:bookmarkEnd w:id="826"/>
      <w:r/>
      <w:bookmarkStart w:id="827" w:name="_Toc296346662"/>
      <w:r/>
      <w:bookmarkEnd w:id="827"/>
      <w:r/>
      <w:bookmarkStart w:id="828" w:name="_Toc297048347"/>
      <w:r/>
      <w:bookmarkEnd w:id="828"/>
      <w:r/>
      <w:bookmarkStart w:id="829" w:name="_Toc296944500"/>
      <w:r/>
      <w:bookmarkEnd w:id="829"/>
      <w:r/>
      <w:bookmarkStart w:id="830" w:name="_Toc303539104"/>
      <w:r/>
      <w:bookmarkEnd w:id="830"/>
      <w:r/>
      <w:bookmarkStart w:id="831" w:name="_Toc296503161"/>
      <w:r/>
      <w:bookmarkEnd w:id="831"/>
      <w:r/>
      <w:bookmarkStart w:id="832" w:name="_Toc296347160"/>
      <w:r/>
      <w:bookmarkEnd w:id="832"/>
      <w:r/>
      <w:bookmarkStart w:id="833" w:name="_Toc304295525"/>
      <w:r/>
      <w:bookmarkEnd w:id="833"/>
      <w:r/>
      <w:bookmarkStart w:id="834" w:name="_Toc296890989"/>
      <w:r/>
      <w:bookmarkEnd w:id="834"/>
      <w:r/>
      <w:bookmarkStart w:id="835" w:name="_Toc297123494"/>
      <w:r/>
      <w:bookmarkEnd w:id="835"/>
      <w:r/>
      <w:bookmarkStart w:id="836" w:name="_Toc296891201"/>
      <w:r/>
      <w:bookmarkEnd w:id="836"/>
      <w:r/>
      <w:bookmarkStart w:id="837" w:name="_Toc300934947"/>
      <w:r/>
      <w:bookmarkEnd w:id="837"/>
      <w:r/>
      <w:bookmarkStart w:id="838" w:name="_Toc297216153"/>
      <w:r/>
      <w:bookmarkEnd w:id="838"/>
      <w:r/>
      <w:r/>
    </w:p>
    <w:p>
      <w:pPr>
        <w:pStyle w:val="1342"/>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3</w:t>
      </w:r>
      <w:bookmarkStart w:id="839" w:name="_Toc312677990"/>
      <w:r/>
      <w:bookmarkStart w:id="840" w:name="_Toc318581159"/>
      <w:r>
        <w:rPr>
          <w:rFonts w:hint="eastAsia" w:ascii="宋体" w:hAnsi="宋体" w:eastAsia="宋体" w:cs="宋体"/>
          <w:sz w:val="21"/>
          <w:szCs w:val="21"/>
          <w:highlight w:val="none"/>
        </w:rPr>
        <w:t xml:space="preserve">.5.2分包的确定</w:t>
      </w:r>
      <w:r/>
    </w:p>
    <w:p>
      <w:pPr>
        <w:pStyle w:val="1342"/>
        <w:ind w:firstLine="420"/>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允许分包的专业工程包括：</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其他关于分包的约定：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3.5.4 分包合同价款</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关于分包合同价款支付的约定：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bookmarkEnd w:id="839"/>
      <w:r/>
      <w:bookmarkEnd w:id="840"/>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3.6 工程照管与成品、半成品保护</w:t>
      </w:r>
      <w:r/>
    </w:p>
    <w:p>
      <w:pPr>
        <w:pStyle w:val="1342"/>
        <w:ind w:firstLine="420"/>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承包人负责照管工程及工程相关的材料、工程设备的起始时间：</w:t>
      </w:r>
      <w:r>
        <w:rPr>
          <w:rFonts w:hint="eastAsia" w:ascii="宋体" w:hAnsi="宋体" w:eastAsia="宋体" w:cs="宋体"/>
          <w:sz w:val="21"/>
          <w:szCs w:val="21"/>
          <w:highlight w:val="none"/>
          <w:u w:val="single"/>
        </w:rPr>
        <w:t xml:space="preserve">发包人向承包移交施工现场之日起。</w:t>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3.7 履约担保</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承包人是否提供履约担保：</w:t>
      </w:r>
      <w:r>
        <w:rPr>
          <w:rFonts w:hint="eastAsia" w:ascii="宋体" w:hAnsi="宋体" w:eastAsia="宋体" w:cs="宋体"/>
          <w:sz w:val="21"/>
          <w:szCs w:val="21"/>
          <w:highlight w:val="none"/>
          <w:u w:val="single"/>
        </w:rPr>
        <w:t xml:space="preserve">是</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color w:val="ff0000"/>
          <w:sz w:val="21"/>
          <w:szCs w:val="21"/>
          <w:highlight w:val="none"/>
          <w:u w:val="single"/>
        </w:rPr>
      </w:pPr>
      <w:r>
        <w:rPr>
          <w:rFonts w:hint="eastAsia" w:ascii="宋体" w:hAnsi="宋体" w:eastAsia="宋体" w:cs="宋体"/>
          <w:sz w:val="21"/>
          <w:szCs w:val="21"/>
          <w:highlight w:val="none"/>
        </w:rPr>
        <w:t xml:space="preserve">承包人提供履约担保的形式、金额及期限的：</w:t>
      </w:r>
      <w:r>
        <w:rPr>
          <w:rFonts w:hint="eastAsia" w:ascii="宋体" w:hAnsi="宋体" w:eastAsia="宋体" w:cs="宋体"/>
          <w:color w:val="ff0000"/>
          <w:sz w:val="21"/>
          <w:szCs w:val="21"/>
          <w:highlight w:val="none"/>
          <w:u w:val="single"/>
        </w:rPr>
        <w:t xml:space="preserve">履约保证金的形式：支票、汇票、本票或者金融机构、担保机构出具的保函、电子履约保函（保险）等法律法规允许的非现金形式履约保证金的金额：成交价×</w:t>
      </w:r>
      <w:r>
        <w:rPr>
          <w:rFonts w:hint="eastAsia" w:ascii="宋体" w:hAnsi="宋体" w:eastAsia="宋体" w:cs="宋体"/>
          <w:color w:val="ff0000"/>
          <w:sz w:val="21"/>
          <w:szCs w:val="21"/>
          <w:highlight w:val="none"/>
          <w:u w:val="single"/>
          <w:lang w:val="en-US" w:eastAsia="zh-CN"/>
        </w:rPr>
        <w:t xml:space="preserve">10</w:t>
      </w:r>
      <w:r>
        <w:rPr>
          <w:rFonts w:hint="eastAsia" w:ascii="宋体" w:hAnsi="宋体" w:eastAsia="宋体" w:cs="宋体"/>
          <w:color w:val="ff0000"/>
          <w:sz w:val="21"/>
          <w:szCs w:val="21"/>
          <w:highlight w:val="none"/>
          <w:u w:val="single"/>
        </w:rPr>
        <w:t xml:space="preserve">% 履约保证金的提交时间：成交通知书签发后签订合同前。注：电子履约保函（保险）的形式和缴纳方式执行“关于在全省政府采购领域推行电子履约保函(保险)的通知”（苏财购〔2023〕150号）。退还时间：在成交人按承诺的工期、质量标准、规范要求完成项目后无息返还。工程竣工验收合格后凭工程竣工验收合格证书和收据办理退还手续。</w:t>
      </w:r>
      <w:r/>
    </w:p>
    <w:p>
      <w:pPr>
        <w:pStyle w:val="1341"/>
        <w:spacing w:before="0" w:after="0" w:line="440" w:lineRule="exact"/>
        <w:rPr>
          <w:rFonts w:hint="eastAsia" w:ascii="宋体" w:hAnsi="宋体" w:eastAsia="宋体" w:cs="宋体"/>
          <w:sz w:val="21"/>
          <w:szCs w:val="21"/>
          <w:highlight w:val="none"/>
        </w:rPr>
      </w:pPr>
      <w:r/>
      <w:bookmarkStart w:id="841" w:name="_Toc351203636"/>
      <w:r>
        <w:rPr>
          <w:rFonts w:hint="eastAsia" w:ascii="宋体" w:hAnsi="宋体" w:eastAsia="宋体" w:cs="宋体"/>
          <w:sz w:val="21"/>
          <w:szCs w:val="21"/>
          <w:highlight w:val="none"/>
        </w:rPr>
        <w:t xml:space="preserve">4</w:t>
      </w:r>
      <w:bookmarkStart w:id="842" w:name="_Toc267251413"/>
      <w:r/>
      <w:bookmarkStart w:id="843" w:name="_Toc297048348"/>
      <w:r/>
      <w:bookmarkStart w:id="844" w:name="_Toc292559871"/>
      <w:r/>
      <w:bookmarkStart w:id="845" w:name="_Toc296503162"/>
      <w:r/>
      <w:bookmarkStart w:id="846" w:name="_Toc296347161"/>
      <w:r/>
      <w:bookmarkStart w:id="847" w:name="_Toc296891202"/>
      <w:r/>
      <w:bookmarkStart w:id="848" w:name="_Toc292559366"/>
      <w:r/>
      <w:bookmarkStart w:id="849" w:name="_Toc296346663"/>
      <w:r/>
      <w:bookmarkStart w:id="850" w:name="_Toc296944501"/>
      <w:r/>
      <w:bookmarkStart w:id="851" w:name="_Toc296890990"/>
      <w:r/>
      <w:bookmarkStart w:id="852" w:name="_Toc297120462"/>
      <w:r>
        <w:rPr>
          <w:rFonts w:hint="eastAsia" w:ascii="宋体" w:hAnsi="宋体" w:eastAsia="宋体" w:cs="宋体"/>
          <w:sz w:val="21"/>
          <w:szCs w:val="21"/>
          <w:highlight w:val="none"/>
        </w:rPr>
        <w:t xml:space="preserve">. 监</w:t>
      </w:r>
      <w:bookmarkEnd w:id="842"/>
      <w:r/>
      <w:bookmarkEnd w:id="843"/>
      <w:r/>
      <w:bookmarkEnd w:id="844"/>
      <w:r/>
      <w:bookmarkEnd w:id="845"/>
      <w:r/>
      <w:bookmarkEnd w:id="846"/>
      <w:r/>
      <w:bookmarkEnd w:id="847"/>
      <w:r/>
      <w:bookmarkEnd w:id="848"/>
      <w:r/>
      <w:bookmarkEnd w:id="849"/>
      <w:r/>
      <w:bookmarkEnd w:id="850"/>
      <w:r/>
      <w:bookmarkEnd w:id="851"/>
      <w:r/>
      <w:bookmarkEnd w:id="852"/>
      <w:r>
        <w:rPr>
          <w:rFonts w:hint="eastAsia" w:ascii="宋体" w:hAnsi="宋体" w:eastAsia="宋体" w:cs="宋体"/>
          <w:sz w:val="21"/>
          <w:szCs w:val="21"/>
          <w:highlight w:val="none"/>
        </w:rPr>
        <w:t xml:space="preserve">理人</w:t>
      </w:r>
      <w:bookmarkEnd w:id="841"/>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4.1监理人的一般规定</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关于监理人的监理内容：</w:t>
      </w:r>
      <w:r>
        <w:rPr>
          <w:rFonts w:hint="eastAsia" w:ascii="宋体" w:hAnsi="宋体" w:eastAsia="宋体" w:cs="宋体"/>
          <w:sz w:val="21"/>
          <w:szCs w:val="21"/>
          <w:highlight w:val="none"/>
          <w:u w:val="single"/>
        </w:rPr>
        <w:t xml:space="preserve">见监理合同</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关于监理人的监理权限：</w:t>
      </w:r>
      <w:r>
        <w:rPr>
          <w:rFonts w:hint="eastAsia" w:ascii="宋体" w:hAnsi="宋体" w:eastAsia="宋体" w:cs="宋体"/>
          <w:sz w:val="21"/>
          <w:szCs w:val="21"/>
          <w:highlight w:val="none"/>
          <w:u w:val="single"/>
        </w:rPr>
        <w:t xml:space="preserve">对本工程施工阶段的质量、进度、造价进行控制，以及对合同、安全、信息和现场进行管理,涉及工程、工期、质量标准等事项的变更，需发包人书面确认。</w:t>
      </w:r>
      <w:r/>
    </w:p>
    <w:p>
      <w:pPr>
        <w:pStyle w:val="1342"/>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关于监理人在施工现场的办公场所、生活场所的提供和费用承担的约定：</w:t>
      </w:r>
      <w:r>
        <w:rPr>
          <w:rFonts w:hint="eastAsia" w:ascii="宋体" w:hAnsi="宋体" w:eastAsia="宋体" w:cs="宋体"/>
          <w:sz w:val="21"/>
          <w:szCs w:val="21"/>
          <w:highlight w:val="none"/>
          <w:u w:val="single"/>
        </w:rPr>
        <w:t xml:space="preserve">由承包人提供办公室一间、宿舍一间</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4.2 监理人员</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总监理工程师：</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    务：；</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监理工程师执业资格证书号：；</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关于监理人的其他约定：。</w:t>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4.4 商定或确定</w:t>
      </w:r>
      <w:r/>
    </w:p>
    <w:p>
      <w:pPr>
        <w:pStyle w:val="1342"/>
        <w:ind w:firstLine="420"/>
        <w:spacing w:line="440" w:lineRule="exact"/>
        <w:rPr>
          <w:rFonts w:hint="eastAsia" w:ascii="宋体" w:hAnsi="宋体" w:eastAsia="宋体" w:cs="宋体"/>
          <w:sz w:val="21"/>
          <w:szCs w:val="21"/>
          <w:highlight w:val="none"/>
        </w:rPr>
      </w:pPr>
      <w:r/>
      <w:bookmarkStart w:id="853" w:name="_Toc267251418"/>
      <w:r>
        <w:rPr>
          <w:rFonts w:hint="eastAsia" w:ascii="宋体" w:hAnsi="宋体" w:eastAsia="宋体" w:cs="宋体"/>
          <w:sz w:val="21"/>
          <w:szCs w:val="21"/>
          <w:highlight w:val="none"/>
        </w:rPr>
        <w:t xml:space="preserve">在发包人和承包人不能通过协商达成一致意见时，发包人授权监理人对以下事项进行确定：</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1"/>
        <w:spacing w:before="0" w:after="0" w:line="440" w:lineRule="exact"/>
        <w:rPr>
          <w:rFonts w:hint="eastAsia" w:ascii="宋体" w:hAnsi="宋体" w:eastAsia="宋体" w:cs="宋体"/>
          <w:sz w:val="21"/>
          <w:szCs w:val="21"/>
          <w:highlight w:val="none"/>
        </w:rPr>
      </w:pPr>
      <w:r/>
      <w:bookmarkStart w:id="854" w:name="_Toc351203637"/>
      <w:r>
        <w:rPr>
          <w:rFonts w:hint="eastAsia" w:ascii="宋体" w:hAnsi="宋体" w:eastAsia="宋体" w:cs="宋体"/>
          <w:sz w:val="21"/>
          <w:szCs w:val="21"/>
          <w:highlight w:val="none"/>
        </w:rPr>
        <w:t xml:space="preserve">5</w:t>
      </w:r>
      <w:bookmarkEnd w:id="853"/>
      <w:r/>
      <w:bookmarkStart w:id="855" w:name="_Toc296891203"/>
      <w:r/>
      <w:bookmarkStart w:id="856" w:name="_Toc292559367"/>
      <w:r/>
      <w:bookmarkStart w:id="857" w:name="_Toc296944502"/>
      <w:r/>
      <w:bookmarkStart w:id="858" w:name="_Toc297120463"/>
      <w:r/>
      <w:bookmarkStart w:id="859" w:name="_Toc296346664"/>
      <w:r/>
      <w:bookmarkStart w:id="860" w:name="_Toc296503163"/>
      <w:r/>
      <w:bookmarkStart w:id="861" w:name="_Toc296890991"/>
      <w:r/>
      <w:bookmarkStart w:id="862" w:name="_Toc296347162"/>
      <w:r/>
      <w:bookmarkStart w:id="863" w:name="_Toc297048349"/>
      <w:r/>
      <w:bookmarkStart w:id="864" w:name="_Toc292559872"/>
      <w:r>
        <w:rPr>
          <w:rFonts w:hint="eastAsia" w:ascii="宋体" w:hAnsi="宋体" w:eastAsia="宋体" w:cs="宋体"/>
          <w:sz w:val="21"/>
          <w:szCs w:val="21"/>
          <w:highlight w:val="none"/>
        </w:rPr>
        <w:t xml:space="preserve">. 工程质量</w:t>
      </w:r>
      <w:bookmarkEnd w:id="854"/>
      <w:r/>
      <w:r/>
    </w:p>
    <w:p>
      <w:pPr>
        <w:pStyle w:val="1342"/>
        <w:ind w:firstLine="422"/>
        <w:spacing w:line="440" w:lineRule="exact"/>
        <w:rPr>
          <w:rFonts w:hint="eastAsia" w:ascii="宋体" w:hAnsi="宋体" w:eastAsia="宋体" w:cs="宋体"/>
          <w:b/>
          <w:sz w:val="21"/>
          <w:szCs w:val="21"/>
          <w:highlight w:val="none"/>
        </w:rPr>
        <w:outlineLvl w:val="0"/>
      </w:pPr>
      <w:r/>
      <w:bookmarkStart w:id="865" w:name="_Toc9974938"/>
      <w:r/>
      <w:bookmarkStart w:id="866" w:name="_Toc41327811"/>
      <w:r/>
      <w:bookmarkStart w:id="867" w:name="_Toc472686051"/>
      <w:r/>
      <w:bookmarkStart w:id="868" w:name="_Toc467144137"/>
      <w:r/>
      <w:bookmarkStart w:id="869" w:name="_Toc30004148"/>
      <w:r/>
      <w:bookmarkStart w:id="870" w:name="_Toc119597892"/>
      <w:r/>
      <w:bookmarkStart w:id="871" w:name="_Toc11671825"/>
      <w:r/>
      <w:bookmarkStart w:id="872" w:name="_Toc499560840"/>
      <w:r/>
      <w:bookmarkStart w:id="873" w:name="_Toc30622607"/>
      <w:r/>
      <w:bookmarkStart w:id="874" w:name="_Toc473034370"/>
      <w:r/>
      <w:bookmarkStart w:id="875" w:name="_Toc54867155"/>
      <w:r>
        <w:rPr>
          <w:rFonts w:hint="eastAsia" w:ascii="宋体" w:hAnsi="宋体" w:eastAsia="宋体" w:cs="宋体"/>
          <w:b/>
          <w:sz w:val="21"/>
          <w:szCs w:val="21"/>
          <w:highlight w:val="none"/>
        </w:rPr>
        <w:t xml:space="preserve">5.1 质量要求</w:t>
      </w:r>
      <w:bookmarkEnd w:id="865"/>
      <w:r/>
      <w:bookmarkEnd w:id="866"/>
      <w:r/>
      <w:bookmarkEnd w:id="867"/>
      <w:r/>
      <w:bookmarkEnd w:id="868"/>
      <w:r/>
      <w:bookmarkEnd w:id="869"/>
      <w:r/>
      <w:bookmarkEnd w:id="870"/>
      <w:r/>
      <w:bookmarkEnd w:id="871"/>
      <w:r/>
      <w:bookmarkEnd w:id="872"/>
      <w:r/>
      <w:bookmarkEnd w:id="873"/>
      <w:r/>
      <w:bookmarkEnd w:id="874"/>
      <w:r/>
      <w:bookmarkEnd w:id="875"/>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bookmarkStart w:id="876" w:name="_Toc297123496"/>
      <w:r/>
      <w:bookmarkStart w:id="877" w:name="_Toc304295527"/>
      <w:r/>
      <w:bookmarkStart w:id="878" w:name="_Toc312677997"/>
      <w:r/>
      <w:bookmarkStart w:id="879" w:name="_Toc303539106"/>
      <w:r/>
      <w:bookmarkStart w:id="880" w:name="_Toc300934949"/>
      <w:r/>
      <w:bookmarkStart w:id="881" w:name="_Toc318581164"/>
      <w:r/>
      <w:bookmarkStart w:id="882" w:name="_Toc297216155"/>
      <w:r>
        <w:rPr>
          <w:rFonts w:hint="eastAsia" w:ascii="宋体" w:hAnsi="宋体" w:eastAsia="宋体" w:cs="宋体"/>
          <w:sz w:val="21"/>
          <w:szCs w:val="21"/>
          <w:highlight w:val="none"/>
        </w:rPr>
        <w:t xml:space="preserve">.1.1 特殊质量标准和要求：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2"/>
        <w:ind w:firstLine="105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关于工程奖项的约定：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outlineLvl w:val="0"/>
      </w:pPr>
      <w:r/>
      <w:bookmarkStart w:id="883" w:name="_Toc499560841"/>
      <w:r/>
      <w:bookmarkStart w:id="884" w:name="_Toc11671826"/>
      <w:r/>
      <w:bookmarkStart w:id="885" w:name="_Toc9974939"/>
      <w:r/>
      <w:bookmarkStart w:id="886" w:name="_Toc30622608"/>
      <w:r/>
      <w:bookmarkStart w:id="887" w:name="_Toc54867156"/>
      <w:r/>
      <w:bookmarkStart w:id="888" w:name="_Toc30004149"/>
      <w:r/>
      <w:bookmarkStart w:id="889" w:name="_Toc119597893"/>
      <w:r/>
      <w:bookmarkStart w:id="890" w:name="_Toc472686052"/>
      <w:r/>
      <w:bookmarkStart w:id="891" w:name="_Toc467144138"/>
      <w:r/>
      <w:bookmarkStart w:id="892" w:name="_Toc41327812"/>
      <w:r/>
      <w:bookmarkStart w:id="893" w:name="_Toc473034371"/>
      <w:r>
        <w:rPr>
          <w:rFonts w:hint="eastAsia" w:ascii="宋体" w:hAnsi="宋体" w:eastAsia="宋体" w:cs="宋体"/>
          <w:b/>
          <w:sz w:val="21"/>
          <w:szCs w:val="21"/>
          <w:highlight w:val="none"/>
        </w:rPr>
        <w:t xml:space="preserve">5.3 隐蔽工程检查</w:t>
      </w:r>
      <w:bookmarkEnd w:id="883"/>
      <w:r/>
      <w:bookmarkEnd w:id="884"/>
      <w:r/>
      <w:bookmarkEnd w:id="885"/>
      <w:r/>
      <w:bookmarkEnd w:id="886"/>
      <w:r/>
      <w:bookmarkEnd w:id="887"/>
      <w:r/>
      <w:bookmarkEnd w:id="888"/>
      <w:r/>
      <w:bookmarkEnd w:id="889"/>
      <w:r/>
      <w:bookmarkEnd w:id="890"/>
      <w:r/>
      <w:bookmarkEnd w:id="891"/>
      <w:r/>
      <w:bookmarkEnd w:id="892"/>
      <w:r/>
      <w:bookmarkEnd w:id="893"/>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5.3.2承包人提前通知监理人隐蔽工程检查的期限的约定：</w:t>
      </w:r>
      <w:r>
        <w:rPr>
          <w:rFonts w:hint="eastAsia" w:ascii="宋体" w:hAnsi="宋体" w:eastAsia="宋体" w:cs="宋体"/>
          <w:sz w:val="21"/>
          <w:szCs w:val="21"/>
          <w:highlight w:val="none"/>
          <w:u w:val="single"/>
        </w:rPr>
        <w:t xml:space="preserve">检查前48小时书面通知监理人检查 </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监理人不能按时进行检查时，应提前</w:t>
      </w:r>
      <w:r>
        <w:rPr>
          <w:rFonts w:hint="eastAsia" w:ascii="宋体" w:hAnsi="宋体" w:eastAsia="宋体" w:cs="宋体"/>
          <w:sz w:val="21"/>
          <w:szCs w:val="21"/>
          <w:highlight w:val="none"/>
          <w:u w:val="single"/>
        </w:rPr>
        <w:t xml:space="preserve">24</w:t>
      </w:r>
      <w:r>
        <w:rPr>
          <w:rFonts w:hint="eastAsia" w:ascii="宋体" w:hAnsi="宋体" w:eastAsia="宋体" w:cs="宋体"/>
          <w:sz w:val="21"/>
          <w:szCs w:val="21"/>
          <w:highlight w:val="none"/>
        </w:rPr>
        <w:t xml:space="preserve">小时提交书面延期要求。</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关于延期最长不得超过：</w:t>
      </w:r>
      <w:r>
        <w:rPr>
          <w:rFonts w:hint="eastAsia" w:ascii="宋体" w:hAnsi="宋体" w:eastAsia="宋体" w:cs="宋体"/>
          <w:sz w:val="21"/>
          <w:szCs w:val="21"/>
          <w:highlight w:val="none"/>
          <w:u w:val="single"/>
        </w:rPr>
        <w:t xml:space="preserve">48</w:t>
      </w:r>
      <w:r>
        <w:rPr>
          <w:rFonts w:hint="eastAsia" w:ascii="宋体" w:hAnsi="宋体" w:eastAsia="宋体" w:cs="宋体"/>
          <w:sz w:val="21"/>
          <w:szCs w:val="21"/>
          <w:highlight w:val="none"/>
        </w:rPr>
        <w:t xml:space="preserve">小时。</w:t>
      </w:r>
      <w:r/>
    </w:p>
    <w:p>
      <w:pPr>
        <w:pStyle w:val="1341"/>
        <w:spacing w:before="0" w:after="0" w:line="440" w:lineRule="exact"/>
        <w:rPr>
          <w:rFonts w:hint="eastAsia" w:ascii="宋体" w:hAnsi="宋体" w:eastAsia="宋体" w:cs="宋体"/>
          <w:sz w:val="21"/>
          <w:szCs w:val="21"/>
          <w:highlight w:val="none"/>
        </w:rPr>
      </w:pPr>
      <w:r/>
      <w:bookmarkStart w:id="894" w:name="_Toc351203638"/>
      <w:r>
        <w:rPr>
          <w:rFonts w:hint="eastAsia" w:ascii="宋体" w:hAnsi="宋体" w:eastAsia="宋体" w:cs="宋体"/>
          <w:sz w:val="21"/>
          <w:szCs w:val="21"/>
          <w:highlight w:val="none"/>
        </w:rPr>
        <w:t xml:space="preserve">6. 安全文明施工与环境保护</w:t>
      </w:r>
      <w:bookmarkEnd w:id="894"/>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6.1安全文明施工</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6.1.1 项目安全生产的达标目标及相应事项的约定：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6.1.4 关于治安保卫的特别约定：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关于编制施工场地治安管理计划的约定：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6.1.5 文明施工</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合同当事人对文明施工的要求：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6.1.6 关于安全文明施工费支付比例和支付期限的约定：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bookmarkEnd w:id="876"/>
      <w:r/>
      <w:bookmarkEnd w:id="877"/>
      <w:r/>
      <w:bookmarkEnd w:id="878"/>
      <w:r/>
      <w:bookmarkEnd w:id="879"/>
      <w:r/>
      <w:bookmarkEnd w:id="880"/>
      <w:r/>
      <w:bookmarkEnd w:id="881"/>
      <w:r/>
      <w:bookmarkEnd w:id="882"/>
      <w:r/>
      <w:r/>
    </w:p>
    <w:p>
      <w:pPr>
        <w:pStyle w:val="1341"/>
        <w:spacing w:before="0" w:after="0" w:line="440" w:lineRule="exact"/>
        <w:rPr>
          <w:rFonts w:hint="eastAsia" w:ascii="宋体" w:hAnsi="宋体" w:eastAsia="宋体" w:cs="宋体"/>
          <w:sz w:val="21"/>
          <w:szCs w:val="21"/>
          <w:highlight w:val="none"/>
        </w:rPr>
      </w:pPr>
      <w:r/>
      <w:bookmarkStart w:id="895" w:name="_Toc351203639"/>
      <w:r>
        <w:rPr>
          <w:rFonts w:hint="eastAsia" w:ascii="宋体" w:hAnsi="宋体" w:eastAsia="宋体" w:cs="宋体"/>
          <w:sz w:val="21"/>
          <w:szCs w:val="21"/>
          <w:highlight w:val="none"/>
        </w:rPr>
        <w:t xml:space="preserve">7. 工期和进度</w:t>
      </w:r>
      <w:bookmarkEnd w:id="895"/>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7.1 施工组织设计</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7.1.1 合同当事人约定的施工组织设计应包括的其他内容：</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7.1.2 施工组织设计的提交和修改</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承包人提交详细施工组织设计的期限的约定：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发包人和监理人在收到详细的施工组织设计后确认或提出修改意见的期限：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w:t>
      </w:r>
      <w:bookmarkStart w:id="896" w:name="_Toc297216173"/>
      <w:r/>
      <w:bookmarkStart w:id="897" w:name="_Toc312678005"/>
      <w:r/>
      <w:bookmarkStart w:id="898" w:name="_Toc297123514"/>
      <w:r/>
      <w:bookmarkStart w:id="899" w:name="_Toc300934966"/>
      <w:r/>
      <w:bookmarkStart w:id="900" w:name="_Toc304295541"/>
      <w:r/>
      <w:bookmarkStart w:id="901" w:name="_Toc312677479"/>
      <w:r/>
      <w:bookmarkStart w:id="902" w:name="_Toc303539123"/>
      <w:r>
        <w:rPr>
          <w:rFonts w:hint="eastAsia" w:ascii="宋体" w:hAnsi="宋体" w:eastAsia="宋体" w:cs="宋体"/>
          <w:b/>
          <w:sz w:val="21"/>
          <w:szCs w:val="21"/>
          <w:highlight w:val="none"/>
        </w:rPr>
        <w:t xml:space="preserve">.2 施工进度计划</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7.2.2 施工进度计划的修订</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发包人和监理人在收到修订的施工进度计划后确认或提出修改意见的期限：</w:t>
      </w:r>
      <w:r>
        <w:rPr>
          <w:rFonts w:hint="eastAsia" w:ascii="宋体" w:hAnsi="宋体" w:eastAsia="宋体" w:cs="宋体"/>
          <w:sz w:val="21"/>
          <w:szCs w:val="21"/>
          <w:highlight w:val="none"/>
          <w:u w:val="single"/>
        </w:rPr>
        <w:t xml:space="preserve">收到后7天内</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7.3 开工</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7.3.1 开工准备</w:t>
      </w:r>
      <w:r/>
    </w:p>
    <w:p>
      <w:pPr>
        <w:pStyle w:val="1342"/>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关于承包人提交工程开工报审表的期限：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关于发包人应完成的其他开工准备工作及期限：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关于承包人应完成的其他开工准备工作及期限：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7.3.2开工通知</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因发包人原因造成监理人未能在计划开工日期之日起</w:t>
      </w:r>
      <w:r>
        <w:rPr>
          <w:rFonts w:hint="eastAsia" w:ascii="宋体" w:hAnsi="宋体" w:eastAsia="宋体" w:cs="宋体"/>
          <w:sz w:val="21"/>
          <w:szCs w:val="21"/>
          <w:highlight w:val="none"/>
          <w:u w:val="single"/>
        </w:rPr>
        <w:t xml:space="preserve">90</w:t>
      </w:r>
      <w:r>
        <w:rPr>
          <w:rFonts w:hint="eastAsia" w:ascii="宋体" w:hAnsi="宋体" w:eastAsia="宋体" w:cs="宋体"/>
          <w:sz w:val="21"/>
          <w:szCs w:val="21"/>
          <w:highlight w:val="none"/>
        </w:rPr>
        <w:t xml:space="preserve">天内发出开工通知的，承包人有权提出价格调整要求，或者解除合同。</w:t>
      </w:r>
      <w:bookmarkEnd w:id="896"/>
      <w:r/>
      <w:bookmarkEnd w:id="897"/>
      <w:r/>
      <w:bookmarkEnd w:id="898"/>
      <w:r/>
      <w:bookmarkEnd w:id="899"/>
      <w:r/>
      <w:bookmarkEnd w:id="900"/>
      <w:r/>
      <w:bookmarkEnd w:id="901"/>
      <w:r/>
      <w:bookmarkEnd w:id="902"/>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7.4 测量放线</w:t>
      </w:r>
      <w:r/>
    </w:p>
    <w:p>
      <w:pPr>
        <w:pStyle w:val="1342"/>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7.4.1发包人通过监理人向承包人提供测量基准点、基准线和水准点及其书面资料的期限：</w:t>
      </w:r>
      <w:r>
        <w:rPr>
          <w:rFonts w:hint="eastAsia" w:ascii="宋体" w:hAnsi="宋体" w:eastAsia="宋体" w:cs="宋体"/>
          <w:sz w:val="21"/>
          <w:szCs w:val="21"/>
          <w:highlight w:val="none"/>
          <w:u w:val="single"/>
        </w:rPr>
        <w:t xml:space="preserve">执行通用条款 </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w:t>
      </w:r>
      <w:bookmarkStart w:id="903" w:name="_Toc297216175"/>
      <w:r/>
      <w:bookmarkStart w:id="904" w:name="_Toc312677484"/>
      <w:r/>
      <w:bookmarkStart w:id="905" w:name="_Toc304295546"/>
      <w:r/>
      <w:bookmarkStart w:id="906" w:name="_Toc312678010"/>
      <w:r/>
      <w:bookmarkStart w:id="907" w:name="_Toc300934968"/>
      <w:r/>
      <w:bookmarkStart w:id="908" w:name="_Toc297123516"/>
      <w:r/>
      <w:bookmarkStart w:id="909" w:name="_Toc303539125"/>
      <w:r>
        <w:rPr>
          <w:rFonts w:hint="eastAsia" w:ascii="宋体" w:hAnsi="宋体" w:eastAsia="宋体" w:cs="宋体"/>
          <w:b/>
          <w:sz w:val="21"/>
          <w:szCs w:val="21"/>
          <w:highlight w:val="none"/>
        </w:rPr>
        <w:t xml:space="preserve">.5 工期延误</w:t>
      </w:r>
      <w:bookmarkEnd w:id="903"/>
      <w:r/>
      <w:bookmarkEnd w:id="904"/>
      <w:r/>
      <w:bookmarkEnd w:id="905"/>
      <w:r/>
      <w:bookmarkEnd w:id="906"/>
      <w:r/>
      <w:bookmarkEnd w:id="907"/>
      <w:r/>
      <w:bookmarkEnd w:id="908"/>
      <w:r/>
      <w:bookmarkEnd w:id="909"/>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7.5.1 因发包人原因导致工期延误</w:t>
      </w:r>
      <w:r/>
    </w:p>
    <w:p>
      <w:pPr>
        <w:pStyle w:val="1342"/>
        <w:ind w:firstLine="315"/>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（7）因发包人原因导致工期延误的其他情形：</w:t>
      </w:r>
      <w:r>
        <w:rPr>
          <w:rFonts w:hint="eastAsia" w:ascii="宋体" w:hAnsi="宋体" w:eastAsia="宋体" w:cs="宋体"/>
          <w:sz w:val="21"/>
          <w:szCs w:val="21"/>
          <w:highlight w:val="none"/>
          <w:u w:val="single"/>
        </w:rPr>
        <w:t xml:space="preserve">通用条款 7.5.1 中（1）至（6）条造成的工期延误经发包人与监理确认后予以顺延，但费用不予以索赔</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bookmarkStart w:id="910" w:name="_Toc312677486"/>
      <w:r/>
      <w:bookmarkStart w:id="911" w:name="_Toc318581169"/>
      <w:r/>
      <w:bookmarkStart w:id="912" w:name="_Toc312678012"/>
      <w:r/>
      <w:bookmarkStart w:id="913" w:name="_Toc297216177"/>
      <w:r/>
      <w:bookmarkStart w:id="914" w:name="_Toc300934970"/>
      <w:r/>
      <w:bookmarkStart w:id="915" w:name="_Toc303539127"/>
      <w:r/>
      <w:bookmarkStart w:id="916" w:name="_Toc297123518"/>
      <w:r/>
      <w:bookmarkStart w:id="917" w:name="_Toc304295548"/>
      <w:r>
        <w:rPr>
          <w:rFonts w:hint="eastAsia" w:ascii="宋体" w:hAnsi="宋体" w:eastAsia="宋体" w:cs="宋体"/>
          <w:sz w:val="21"/>
          <w:szCs w:val="21"/>
          <w:highlight w:val="none"/>
        </w:rPr>
        <w:t xml:space="preserve">.5.2 因承包人原因导致工期延误</w:t>
      </w:r>
      <w:bookmarkEnd w:id="910"/>
      <w:r/>
      <w:bookmarkEnd w:id="911"/>
      <w:r/>
      <w:bookmarkEnd w:id="912"/>
      <w:r/>
      <w:r/>
    </w:p>
    <w:p>
      <w:pPr>
        <w:pStyle w:val="1342"/>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因</w:t>
      </w:r>
      <w:bookmarkStart w:id="918" w:name="_Toc312678013"/>
      <w:r/>
      <w:bookmarkStart w:id="919" w:name="_Toc318581170"/>
      <w:r/>
      <w:bookmarkStart w:id="920" w:name="_Toc312677487"/>
      <w:r>
        <w:rPr>
          <w:rFonts w:hint="eastAsia" w:ascii="宋体" w:hAnsi="宋体" w:eastAsia="宋体" w:cs="宋体"/>
          <w:sz w:val="21"/>
          <w:szCs w:val="21"/>
          <w:highlight w:val="none"/>
        </w:rPr>
        <w:t xml:space="preserve">承包人原因造成工期延误，逾期竣工违约金的计算方法为：</w:t>
      </w:r>
      <w:r>
        <w:rPr>
          <w:rFonts w:hint="eastAsia" w:ascii="宋体" w:hAnsi="宋体" w:eastAsia="宋体" w:cs="宋体"/>
          <w:sz w:val="21"/>
          <w:szCs w:val="21"/>
          <w:highlight w:val="none"/>
          <w:u w:val="single"/>
        </w:rPr>
        <w:t xml:space="preserve">实际施工工期若延误，每延误一天扣除签约合同价的1‰</w:t>
      </w:r>
      <w:r>
        <w:rPr>
          <w:rFonts w:hint="eastAsia" w:ascii="宋体" w:hAnsi="宋体" w:eastAsia="宋体" w:cs="宋体"/>
          <w:sz w:val="21"/>
          <w:szCs w:val="21"/>
          <w:highlight w:val="none"/>
        </w:rPr>
        <w:t xml:space="preserve">。</w:t>
      </w:r>
      <w:bookmarkEnd w:id="913"/>
      <w:r/>
      <w:bookmarkEnd w:id="914"/>
      <w:r/>
      <w:bookmarkEnd w:id="915"/>
      <w:r/>
      <w:bookmarkEnd w:id="916"/>
      <w:r/>
      <w:bookmarkEnd w:id="917"/>
      <w:r/>
      <w:bookmarkEnd w:id="918"/>
      <w:r/>
      <w:bookmarkEnd w:id="919"/>
      <w:r/>
      <w:bookmarkEnd w:id="920"/>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因承包人原因造成工期延误，逾</w:t>
      </w:r>
      <w:bookmarkStart w:id="921" w:name="_Toc312678014"/>
      <w:r/>
      <w:bookmarkStart w:id="922" w:name="_Toc318581171"/>
      <w:r>
        <w:rPr>
          <w:rFonts w:hint="eastAsia" w:ascii="宋体" w:hAnsi="宋体" w:eastAsia="宋体" w:cs="宋体"/>
          <w:sz w:val="21"/>
          <w:szCs w:val="21"/>
          <w:highlight w:val="none"/>
        </w:rPr>
        <w:t xml:space="preserve">期竣工违约金的上限：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bookmarkEnd w:id="921"/>
      <w:r/>
      <w:bookmarkEnd w:id="922"/>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w:t>
      </w:r>
      <w:bookmarkStart w:id="923" w:name="_Toc303539128"/>
      <w:r/>
      <w:bookmarkStart w:id="924" w:name="_Toc312678015"/>
      <w:r/>
      <w:bookmarkStart w:id="925" w:name="_Toc304295549"/>
      <w:r/>
      <w:bookmarkStart w:id="926" w:name="_Toc297216178"/>
      <w:r/>
      <w:bookmarkStart w:id="927" w:name="_Toc297123519"/>
      <w:r/>
      <w:bookmarkStart w:id="928" w:name="_Toc300934971"/>
      <w:r>
        <w:rPr>
          <w:rFonts w:hint="eastAsia" w:ascii="宋体" w:hAnsi="宋体" w:eastAsia="宋体" w:cs="宋体"/>
          <w:b/>
          <w:sz w:val="21"/>
          <w:szCs w:val="21"/>
          <w:highlight w:val="none"/>
        </w:rPr>
        <w:t xml:space="preserve">.6 不</w:t>
      </w:r>
      <w:bookmarkEnd w:id="923"/>
      <w:r/>
      <w:bookmarkEnd w:id="924"/>
      <w:r/>
      <w:bookmarkEnd w:id="925"/>
      <w:r/>
      <w:bookmarkEnd w:id="926"/>
      <w:r/>
      <w:bookmarkEnd w:id="927"/>
      <w:r/>
      <w:bookmarkEnd w:id="928"/>
      <w:r>
        <w:rPr>
          <w:rFonts w:hint="eastAsia" w:ascii="宋体" w:hAnsi="宋体" w:eastAsia="宋体" w:cs="宋体"/>
          <w:b/>
          <w:sz w:val="21"/>
          <w:szCs w:val="21"/>
          <w:highlight w:val="none"/>
        </w:rPr>
        <w:t xml:space="preserve">利物质条件</w:t>
      </w:r>
      <w:r/>
    </w:p>
    <w:p>
      <w:pPr>
        <w:pStyle w:val="1342"/>
        <w:ind w:firstLine="420"/>
        <w:jc w:val="left"/>
        <w:spacing w:line="440" w:lineRule="exact"/>
        <w:rPr>
          <w:rFonts w:hint="eastAsia" w:ascii="宋体" w:hAnsi="宋体" w:eastAsia="宋体" w:cs="宋体"/>
          <w:sz w:val="21"/>
          <w:szCs w:val="21"/>
          <w:highlight w:val="none"/>
        </w:rPr>
      </w:pPr>
      <w:r/>
      <w:bookmarkStart w:id="929" w:name="_Toc303539129"/>
      <w:r/>
      <w:bookmarkStart w:id="930" w:name="_Toc297123520"/>
      <w:r/>
      <w:bookmarkStart w:id="931" w:name="_Toc318581172"/>
      <w:r/>
      <w:bookmarkStart w:id="932" w:name="_Toc312678016"/>
      <w:r/>
      <w:bookmarkStart w:id="933" w:name="_Toc304295550"/>
      <w:r/>
      <w:bookmarkStart w:id="934" w:name="_Toc300934972"/>
      <w:r/>
      <w:bookmarkStart w:id="935" w:name="_Toc297216179"/>
      <w:r>
        <w:rPr>
          <w:rFonts w:hint="eastAsia" w:ascii="宋体" w:hAnsi="宋体" w:eastAsia="宋体" w:cs="宋体"/>
          <w:sz w:val="21"/>
          <w:szCs w:val="21"/>
          <w:highlight w:val="none"/>
        </w:rPr>
        <w:t xml:space="preserve">不利物质条件的其他情形和有关约定：</w:t>
      </w:r>
      <w:r>
        <w:rPr>
          <w:rFonts w:hint="eastAsia" w:ascii="宋体" w:hAnsi="宋体" w:eastAsia="宋体" w:cs="宋体"/>
          <w:sz w:val="21"/>
          <w:szCs w:val="21"/>
          <w:highlight w:val="none"/>
          <w:u w:val="single"/>
        </w:rPr>
        <w:t xml:space="preserve">另行协商</w:t>
      </w:r>
      <w:r>
        <w:rPr>
          <w:rFonts w:hint="eastAsia" w:ascii="宋体" w:hAnsi="宋体" w:eastAsia="宋体" w:cs="宋体"/>
          <w:sz w:val="21"/>
          <w:szCs w:val="21"/>
          <w:highlight w:val="none"/>
        </w:rPr>
        <w:t xml:space="preserve">。</w:t>
      </w:r>
      <w:bookmarkEnd w:id="929"/>
      <w:r/>
      <w:bookmarkEnd w:id="930"/>
      <w:r/>
      <w:bookmarkEnd w:id="931"/>
      <w:r/>
      <w:bookmarkEnd w:id="932"/>
      <w:r/>
      <w:bookmarkEnd w:id="933"/>
      <w:r/>
      <w:bookmarkEnd w:id="934"/>
      <w:r/>
      <w:bookmarkEnd w:id="935"/>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w:t>
      </w:r>
      <w:bookmarkStart w:id="936" w:name="_Toc303539130"/>
      <w:r/>
      <w:bookmarkStart w:id="937" w:name="_Toc312678017"/>
      <w:r/>
      <w:bookmarkStart w:id="938" w:name="_Toc300934973"/>
      <w:r/>
      <w:bookmarkStart w:id="939" w:name="_Toc304295551"/>
      <w:r/>
      <w:bookmarkStart w:id="940" w:name="_Toc297123521"/>
      <w:r/>
      <w:bookmarkStart w:id="941" w:name="_Toc297216180"/>
      <w:r>
        <w:rPr>
          <w:rFonts w:hint="eastAsia" w:ascii="宋体" w:hAnsi="宋体" w:eastAsia="宋体" w:cs="宋体"/>
          <w:b/>
          <w:sz w:val="21"/>
          <w:szCs w:val="21"/>
          <w:highlight w:val="none"/>
        </w:rPr>
        <w:t xml:space="preserve">.7异常恶劣的气候条件</w:t>
      </w:r>
      <w:bookmarkEnd w:id="936"/>
      <w:r/>
      <w:bookmarkEnd w:id="937"/>
      <w:r/>
      <w:bookmarkEnd w:id="938"/>
      <w:r/>
      <w:bookmarkEnd w:id="939"/>
      <w:r/>
      <w:bookmarkEnd w:id="940"/>
      <w:r/>
      <w:bookmarkEnd w:id="941"/>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发包人和承包人同意以下情形视为异常恶劣的气候条件：</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24小时内降水量达到50—99.9mm的暴雨</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风速达到8级的台风</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u w:val="single"/>
        </w:rPr>
        <w:t xml:space="preserve"> 日气温超过38度或低于零下10度</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u w:val="single"/>
        </w:rPr>
        <w:t xml:space="preserve"> 其他另行协商</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outlineLvl w:val="0"/>
      </w:pPr>
      <w:r/>
      <w:bookmarkStart w:id="942" w:name="_Toc472686053"/>
      <w:r/>
      <w:bookmarkStart w:id="943" w:name="_Toc499560842"/>
      <w:r/>
      <w:bookmarkStart w:id="944" w:name="_Toc467144139"/>
      <w:r/>
      <w:bookmarkStart w:id="945" w:name="_Toc54867157"/>
      <w:r/>
      <w:bookmarkStart w:id="946" w:name="_Toc41327813"/>
      <w:r/>
      <w:bookmarkStart w:id="947" w:name="_Toc30004150"/>
      <w:r/>
      <w:bookmarkStart w:id="948" w:name="_Toc11671827"/>
      <w:r/>
      <w:bookmarkStart w:id="949" w:name="_Toc473034372"/>
      <w:r/>
      <w:bookmarkStart w:id="950" w:name="_Toc119597894"/>
      <w:r/>
      <w:bookmarkStart w:id="951" w:name="_Toc30622609"/>
      <w:r/>
      <w:bookmarkStart w:id="952" w:name="_Toc9974940"/>
      <w:r>
        <w:rPr>
          <w:rFonts w:hint="eastAsia" w:ascii="宋体" w:hAnsi="宋体" w:eastAsia="宋体" w:cs="宋体"/>
          <w:b/>
          <w:sz w:val="21"/>
          <w:szCs w:val="21"/>
          <w:highlight w:val="none"/>
        </w:rPr>
        <w:t xml:space="preserve">7.9 提前竣工的奖励</w:t>
      </w:r>
      <w:bookmarkEnd w:id="942"/>
      <w:r/>
      <w:bookmarkEnd w:id="943"/>
      <w:r/>
      <w:bookmarkEnd w:id="944"/>
      <w:r/>
      <w:bookmarkEnd w:id="945"/>
      <w:r/>
      <w:bookmarkEnd w:id="946"/>
      <w:r/>
      <w:bookmarkEnd w:id="947"/>
      <w:r/>
      <w:bookmarkEnd w:id="948"/>
      <w:r/>
      <w:bookmarkEnd w:id="949"/>
      <w:r/>
      <w:bookmarkEnd w:id="950"/>
      <w:r/>
      <w:bookmarkEnd w:id="951"/>
      <w:r/>
      <w:bookmarkEnd w:id="952"/>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7.9.2提前竣工的奖励：</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1"/>
        <w:spacing w:before="0" w:after="0" w:line="440" w:lineRule="exact"/>
        <w:rPr>
          <w:rFonts w:hint="eastAsia" w:ascii="宋体" w:hAnsi="宋体" w:eastAsia="宋体" w:cs="宋体"/>
          <w:sz w:val="21"/>
          <w:szCs w:val="21"/>
          <w:highlight w:val="none"/>
        </w:rPr>
      </w:pPr>
      <w:r/>
      <w:bookmarkStart w:id="953" w:name="_Toc351203640"/>
      <w:r>
        <w:rPr>
          <w:rFonts w:hint="eastAsia" w:ascii="宋体" w:hAnsi="宋体" w:eastAsia="宋体" w:cs="宋体"/>
          <w:sz w:val="21"/>
          <w:szCs w:val="21"/>
          <w:highlight w:val="none"/>
        </w:rPr>
        <w:t xml:space="preserve">8. 材料与设备</w:t>
      </w:r>
      <w:bookmarkEnd w:id="855"/>
      <w:r/>
      <w:bookmarkEnd w:id="856"/>
      <w:r/>
      <w:bookmarkEnd w:id="857"/>
      <w:r/>
      <w:bookmarkEnd w:id="858"/>
      <w:r/>
      <w:bookmarkEnd w:id="859"/>
      <w:r/>
      <w:bookmarkEnd w:id="860"/>
      <w:r/>
      <w:bookmarkEnd w:id="861"/>
      <w:r/>
      <w:bookmarkEnd w:id="862"/>
      <w:r/>
      <w:bookmarkEnd w:id="863"/>
      <w:r/>
      <w:bookmarkEnd w:id="864"/>
      <w:r/>
      <w:bookmarkEnd w:id="953"/>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8</w:t>
      </w:r>
      <w:bookmarkStart w:id="954" w:name="_Toc297120467"/>
      <w:r/>
      <w:bookmarkStart w:id="955" w:name="_Toc297216186"/>
      <w:r/>
      <w:bookmarkStart w:id="956" w:name="_Toc312677493"/>
      <w:r/>
      <w:bookmarkStart w:id="957" w:name="_Toc292559877"/>
      <w:r/>
      <w:bookmarkStart w:id="958" w:name="_Toc296890995"/>
      <w:r/>
      <w:bookmarkStart w:id="959" w:name="_Toc297123527"/>
      <w:r/>
      <w:bookmarkStart w:id="960" w:name="_Toc297048353"/>
      <w:r/>
      <w:bookmarkStart w:id="961" w:name="_Toc292559372"/>
      <w:r/>
      <w:bookmarkStart w:id="962" w:name="_Toc300934979"/>
      <w:r/>
      <w:bookmarkStart w:id="963" w:name="_Toc296347166"/>
      <w:r/>
      <w:bookmarkStart w:id="964" w:name="_Toc304295556"/>
      <w:r/>
      <w:bookmarkStart w:id="965" w:name="_Toc312678019"/>
      <w:r/>
      <w:bookmarkStart w:id="966" w:name="_Toc296944506"/>
      <w:r/>
      <w:bookmarkStart w:id="967" w:name="_Toc280868654"/>
      <w:r/>
      <w:bookmarkStart w:id="968" w:name="_Toc296346668"/>
      <w:r/>
      <w:bookmarkStart w:id="969" w:name="_Toc296891207"/>
      <w:r/>
      <w:bookmarkStart w:id="970" w:name="_Toc296503167"/>
      <w:r/>
      <w:bookmarkStart w:id="971" w:name="_Toc303539136"/>
      <w:r/>
      <w:bookmarkStart w:id="972" w:name="_Toc267251424"/>
      <w:r/>
      <w:bookmarkStart w:id="973" w:name="_Toc280868656"/>
      <w:r/>
      <w:bookmarkStart w:id="974" w:name="_Toc280868655"/>
      <w:r>
        <w:rPr>
          <w:rFonts w:hint="eastAsia" w:ascii="宋体" w:hAnsi="宋体" w:eastAsia="宋体" w:cs="宋体"/>
          <w:b/>
          <w:sz w:val="21"/>
          <w:szCs w:val="21"/>
          <w:highlight w:val="none"/>
        </w:rPr>
        <w:t xml:space="preserve">.4材料与工程设备的保管与使用</w:t>
      </w:r>
      <w:bookmarkEnd w:id="954"/>
      <w:r/>
      <w:bookmarkEnd w:id="955"/>
      <w:r/>
      <w:bookmarkEnd w:id="956"/>
      <w:r/>
      <w:bookmarkEnd w:id="957"/>
      <w:r/>
      <w:bookmarkEnd w:id="958"/>
      <w:r/>
      <w:bookmarkEnd w:id="959"/>
      <w:r/>
      <w:bookmarkEnd w:id="960"/>
      <w:r/>
      <w:bookmarkEnd w:id="961"/>
      <w:r/>
      <w:bookmarkEnd w:id="962"/>
      <w:r/>
      <w:bookmarkEnd w:id="963"/>
      <w:r/>
      <w:bookmarkEnd w:id="964"/>
      <w:r/>
      <w:bookmarkEnd w:id="965"/>
      <w:r/>
      <w:bookmarkEnd w:id="966"/>
      <w:r/>
      <w:bookmarkEnd w:id="967"/>
      <w:r/>
      <w:bookmarkEnd w:id="968"/>
      <w:r/>
      <w:bookmarkEnd w:id="969"/>
      <w:r/>
      <w:bookmarkEnd w:id="970"/>
      <w:r/>
      <w:bookmarkEnd w:id="971"/>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bookmarkStart w:id="975" w:name="_Toc292559373"/>
      <w:r/>
      <w:bookmarkStart w:id="976" w:name="_Toc292559878"/>
      <w:r/>
      <w:bookmarkStart w:id="977" w:name="_Toc296944507"/>
      <w:r/>
      <w:bookmarkStart w:id="978" w:name="_Toc296503168"/>
      <w:r/>
      <w:bookmarkStart w:id="979" w:name="_Toc297120468"/>
      <w:r/>
      <w:bookmarkStart w:id="980" w:name="_Toc296347167"/>
      <w:r/>
      <w:bookmarkStart w:id="981" w:name="_Toc318581173"/>
      <w:r/>
      <w:bookmarkStart w:id="982" w:name="_Toc304295557"/>
      <w:r/>
      <w:bookmarkStart w:id="983" w:name="_Toc312677494"/>
      <w:r/>
      <w:bookmarkStart w:id="984" w:name="_Toc312678020"/>
      <w:r/>
      <w:bookmarkStart w:id="985" w:name="_Toc297123528"/>
      <w:r/>
      <w:bookmarkStart w:id="986" w:name="_Toc297216187"/>
      <w:r/>
      <w:bookmarkStart w:id="987" w:name="_Toc303539137"/>
      <w:r/>
      <w:bookmarkStart w:id="988" w:name="_Toc296891208"/>
      <w:r/>
      <w:bookmarkStart w:id="989" w:name="_Toc296346669"/>
      <w:r/>
      <w:bookmarkStart w:id="990" w:name="_Toc300934980"/>
      <w:r/>
      <w:bookmarkStart w:id="991" w:name="_Toc297048354"/>
      <w:r/>
      <w:bookmarkStart w:id="992" w:name="_Toc296890996"/>
      <w:r>
        <w:rPr>
          <w:rFonts w:hint="eastAsia" w:ascii="宋体" w:hAnsi="宋体" w:eastAsia="宋体" w:cs="宋体"/>
          <w:sz w:val="21"/>
          <w:szCs w:val="21"/>
          <w:highlight w:val="none"/>
        </w:rPr>
        <w:t xml:space="preserve">.4.1发包人供应的材料设备的保管费用的承担：</w:t>
      </w:r>
      <w:r>
        <w:rPr>
          <w:rFonts w:hint="eastAsia" w:ascii="宋体" w:hAnsi="宋体" w:eastAsia="宋体" w:cs="宋体"/>
          <w:sz w:val="21"/>
          <w:szCs w:val="21"/>
          <w:highlight w:val="none"/>
          <w:u w:val="single"/>
        </w:rPr>
        <w:t xml:space="preserve">/</w:t>
      </w:r>
      <w:bookmarkEnd w:id="975"/>
      <w:r/>
      <w:bookmarkEnd w:id="976"/>
      <w:r/>
      <w:r/>
    </w:p>
    <w:p>
      <w:pPr>
        <w:pStyle w:val="1342"/>
        <w:ind w:firstLine="422"/>
        <w:spacing w:line="440" w:lineRule="exact"/>
        <w:rPr>
          <w:rFonts w:hint="eastAsia" w:ascii="宋体" w:hAnsi="宋体" w:eastAsia="宋体" w:cs="宋体"/>
          <w:b/>
          <w:sz w:val="21"/>
          <w:szCs w:val="21"/>
          <w:highlight w:val="none"/>
        </w:rPr>
        <w:outlineLvl w:val="0"/>
      </w:pPr>
      <w:r/>
      <w:bookmarkStart w:id="993" w:name="_Toc499560843"/>
      <w:r/>
      <w:bookmarkStart w:id="994" w:name="_Toc473034373"/>
      <w:r/>
      <w:bookmarkStart w:id="995" w:name="_Toc30004151"/>
      <w:r/>
      <w:bookmarkStart w:id="996" w:name="_Toc472686054"/>
      <w:r/>
      <w:bookmarkStart w:id="997" w:name="_Toc467144140"/>
      <w:r/>
      <w:bookmarkStart w:id="998" w:name="_Toc11671828"/>
      <w:r/>
      <w:bookmarkStart w:id="999" w:name="_Toc41327814"/>
      <w:r/>
      <w:bookmarkStart w:id="1000" w:name="_Toc9974941"/>
      <w:r/>
      <w:bookmarkStart w:id="1001" w:name="_Toc119597895"/>
      <w:r/>
      <w:bookmarkStart w:id="1002" w:name="_Toc54867158"/>
      <w:r/>
      <w:bookmarkStart w:id="1003" w:name="_Toc30622610"/>
      <w:r>
        <w:rPr>
          <w:rFonts w:hint="eastAsia" w:ascii="宋体" w:hAnsi="宋体" w:eastAsia="宋体" w:cs="宋体"/>
          <w:b/>
          <w:sz w:val="21"/>
          <w:szCs w:val="21"/>
          <w:highlight w:val="none"/>
        </w:rPr>
        <w:t xml:space="preserve">8.6 样品</w:t>
      </w:r>
      <w:bookmarkEnd w:id="993"/>
      <w:r/>
      <w:bookmarkEnd w:id="994"/>
      <w:r/>
      <w:bookmarkEnd w:id="995"/>
      <w:r/>
      <w:bookmarkEnd w:id="996"/>
      <w:r/>
      <w:bookmarkEnd w:id="997"/>
      <w:r/>
      <w:bookmarkEnd w:id="998"/>
      <w:r/>
      <w:bookmarkEnd w:id="999"/>
      <w:r/>
      <w:bookmarkEnd w:id="1000"/>
      <w:r/>
      <w:bookmarkEnd w:id="1001"/>
      <w:r/>
      <w:bookmarkEnd w:id="1002"/>
      <w:r/>
      <w:bookmarkEnd w:id="1003"/>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8.6.1样品的报送与封存</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需要承包人报送样品的材料或工程设备，样品的种类、名称、规格、数量要求：</w:t>
      </w:r>
      <w:r>
        <w:rPr>
          <w:rFonts w:hint="eastAsia" w:ascii="宋体" w:hAnsi="宋体" w:eastAsia="宋体" w:cs="宋体"/>
          <w:sz w:val="21"/>
          <w:szCs w:val="21"/>
          <w:highlight w:val="none"/>
          <w:u w:val="single"/>
        </w:rPr>
        <w:t xml:space="preserve">根据工程实际情况双方商定</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outlineLvl w:val="0"/>
      </w:pPr>
      <w:r/>
      <w:bookmarkStart w:id="1004" w:name="_Toc41327815"/>
      <w:r/>
      <w:bookmarkStart w:id="1005" w:name="_Toc467144141"/>
      <w:r/>
      <w:bookmarkStart w:id="1006" w:name="_Toc11671829"/>
      <w:r/>
      <w:bookmarkStart w:id="1007" w:name="_Toc9974942"/>
      <w:r/>
      <w:bookmarkStart w:id="1008" w:name="_Toc472686055"/>
      <w:r/>
      <w:bookmarkStart w:id="1009" w:name="_Toc30622611"/>
      <w:r/>
      <w:bookmarkStart w:id="1010" w:name="_Toc119597896"/>
      <w:r/>
      <w:bookmarkStart w:id="1011" w:name="_Toc499560844"/>
      <w:r/>
      <w:bookmarkStart w:id="1012" w:name="_Toc30004152"/>
      <w:r/>
      <w:bookmarkStart w:id="1013" w:name="_Toc473034374"/>
      <w:r/>
      <w:bookmarkStart w:id="1014" w:name="_Toc54867159"/>
      <w:r>
        <w:rPr>
          <w:rFonts w:hint="eastAsia" w:ascii="宋体" w:hAnsi="宋体" w:eastAsia="宋体" w:cs="宋体"/>
          <w:b/>
          <w:sz w:val="21"/>
          <w:szCs w:val="21"/>
          <w:highlight w:val="none"/>
        </w:rPr>
        <w:t xml:space="preserve">8.8 施工设备和临时设施</w:t>
      </w:r>
      <w:bookmarkEnd w:id="1004"/>
      <w:r/>
      <w:bookmarkEnd w:id="1005"/>
      <w:r/>
      <w:bookmarkEnd w:id="1006"/>
      <w:r/>
      <w:bookmarkEnd w:id="1007"/>
      <w:r/>
      <w:bookmarkEnd w:id="1008"/>
      <w:r/>
      <w:bookmarkEnd w:id="1009"/>
      <w:r/>
      <w:bookmarkEnd w:id="1010"/>
      <w:r/>
      <w:bookmarkEnd w:id="1011"/>
      <w:r/>
      <w:bookmarkEnd w:id="1012"/>
      <w:r/>
      <w:bookmarkEnd w:id="1013"/>
      <w:r/>
      <w:bookmarkEnd w:id="1014"/>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8.8.1 承包人提供的施工设备和临时设施</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关于修建临时设施费用承担的约定：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bookmarkEnd w:id="977"/>
      <w:r/>
      <w:bookmarkEnd w:id="978"/>
      <w:r/>
      <w:bookmarkEnd w:id="979"/>
      <w:r/>
      <w:bookmarkEnd w:id="980"/>
      <w:r/>
      <w:bookmarkEnd w:id="981"/>
      <w:r/>
      <w:bookmarkEnd w:id="982"/>
      <w:r/>
      <w:bookmarkEnd w:id="983"/>
      <w:r/>
      <w:bookmarkEnd w:id="984"/>
      <w:r/>
      <w:bookmarkEnd w:id="985"/>
      <w:r/>
      <w:bookmarkEnd w:id="986"/>
      <w:r/>
      <w:bookmarkEnd w:id="987"/>
      <w:r/>
      <w:bookmarkEnd w:id="988"/>
      <w:r/>
      <w:bookmarkEnd w:id="989"/>
      <w:r/>
      <w:bookmarkEnd w:id="990"/>
      <w:r/>
      <w:bookmarkEnd w:id="991"/>
      <w:r/>
      <w:bookmarkEnd w:id="992"/>
      <w:r/>
      <w:r/>
    </w:p>
    <w:p>
      <w:pPr>
        <w:pStyle w:val="1341"/>
        <w:spacing w:before="0" w:after="0" w:line="440" w:lineRule="exact"/>
        <w:rPr>
          <w:rFonts w:hint="eastAsia" w:ascii="宋体" w:hAnsi="宋体" w:eastAsia="宋体" w:cs="宋体"/>
          <w:sz w:val="21"/>
          <w:szCs w:val="21"/>
          <w:highlight w:val="none"/>
        </w:rPr>
      </w:pPr>
      <w:r/>
      <w:bookmarkStart w:id="1015" w:name="_Toc351203641"/>
      <w:r>
        <w:rPr>
          <w:rFonts w:hint="eastAsia" w:ascii="宋体" w:hAnsi="宋体" w:eastAsia="宋体" w:cs="宋体"/>
          <w:sz w:val="21"/>
          <w:szCs w:val="21"/>
          <w:highlight w:val="none"/>
        </w:rPr>
        <w:t xml:space="preserve">9</w:t>
      </w:r>
      <w:bookmarkEnd w:id="972"/>
      <w:r/>
      <w:bookmarkEnd w:id="973"/>
      <w:r/>
      <w:bookmarkEnd w:id="974"/>
      <w:r/>
      <w:bookmarkStart w:id="1016" w:name="_Toc303539139"/>
      <w:r/>
      <w:bookmarkStart w:id="1017" w:name="_Toc300934982"/>
      <w:r/>
      <w:bookmarkStart w:id="1018" w:name="_Toc297216192"/>
      <w:r/>
      <w:bookmarkStart w:id="1019" w:name="_Toc304295559"/>
      <w:r/>
      <w:bookmarkStart w:id="1020" w:name="_Toc312678021"/>
      <w:r/>
      <w:bookmarkStart w:id="1021" w:name="_Toc297123533"/>
      <w:r/>
      <w:bookmarkStart w:id="1022" w:name="_Toc312677495"/>
      <w:r/>
      <w:bookmarkStart w:id="1023" w:name="_Toc296891213"/>
      <w:r/>
      <w:bookmarkStart w:id="1024" w:name="_Toc296347172"/>
      <w:r/>
      <w:bookmarkStart w:id="1025" w:name="_Toc292559883"/>
      <w:r/>
      <w:bookmarkStart w:id="1026" w:name="_Toc296346674"/>
      <w:r/>
      <w:bookmarkStart w:id="1027" w:name="_Toc296891001"/>
      <w:r/>
      <w:bookmarkStart w:id="1028" w:name="_Toc297048359"/>
      <w:r/>
      <w:bookmarkStart w:id="1029" w:name="_Toc267251427"/>
      <w:r/>
      <w:bookmarkStart w:id="1030" w:name="_Toc296944512"/>
      <w:r/>
      <w:bookmarkStart w:id="1031" w:name="_Toc292559378"/>
      <w:r/>
      <w:bookmarkStart w:id="1032" w:name="_Toc267251428"/>
      <w:r/>
      <w:bookmarkStart w:id="1033" w:name="_Toc297120473"/>
      <w:r/>
      <w:bookmarkStart w:id="1034" w:name="_Toc296503173"/>
      <w:r>
        <w:rPr>
          <w:rFonts w:hint="eastAsia" w:ascii="宋体" w:hAnsi="宋体" w:eastAsia="宋体" w:cs="宋体"/>
          <w:sz w:val="21"/>
          <w:szCs w:val="21"/>
          <w:highlight w:val="none"/>
        </w:rPr>
        <w:t xml:space="preserve">. 试验与检验</w:t>
      </w:r>
      <w:bookmarkEnd w:id="1015"/>
      <w:r/>
      <w:bookmarkEnd w:id="1016"/>
      <w:r/>
      <w:bookmarkEnd w:id="1017"/>
      <w:r/>
      <w:bookmarkEnd w:id="1018"/>
      <w:r/>
      <w:bookmarkEnd w:id="1019"/>
      <w:r/>
      <w:bookmarkEnd w:id="1020"/>
      <w:r/>
      <w:bookmarkEnd w:id="1021"/>
      <w:r/>
      <w:bookmarkEnd w:id="1022"/>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9</w:t>
      </w:r>
      <w:bookmarkStart w:id="1035" w:name="_Toc300934983"/>
      <w:r/>
      <w:bookmarkStart w:id="1036" w:name="_Toc304295560"/>
      <w:r/>
      <w:bookmarkStart w:id="1037" w:name="_Toc297216193"/>
      <w:r/>
      <w:bookmarkStart w:id="1038" w:name="_Toc312677496"/>
      <w:r/>
      <w:bookmarkStart w:id="1039" w:name="_Toc312678022"/>
      <w:r/>
      <w:bookmarkStart w:id="1040" w:name="_Toc297123534"/>
      <w:r/>
      <w:bookmarkStart w:id="1041" w:name="_Toc303539140"/>
      <w:r>
        <w:rPr>
          <w:rFonts w:hint="eastAsia" w:ascii="宋体" w:hAnsi="宋体" w:eastAsia="宋体" w:cs="宋体"/>
          <w:b/>
          <w:sz w:val="21"/>
          <w:szCs w:val="21"/>
          <w:highlight w:val="none"/>
        </w:rPr>
        <w:t xml:space="preserve">.1试验设备与试验人员</w:t>
      </w:r>
      <w:bookmarkEnd w:id="1035"/>
      <w:r/>
      <w:bookmarkEnd w:id="1036"/>
      <w:r/>
      <w:bookmarkEnd w:id="1037"/>
      <w:r/>
      <w:bookmarkEnd w:id="1038"/>
      <w:r/>
      <w:bookmarkEnd w:id="1039"/>
      <w:r/>
      <w:bookmarkEnd w:id="1040"/>
      <w:r/>
      <w:bookmarkEnd w:id="1041"/>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bookmarkStart w:id="1042" w:name="_Toc297216194"/>
      <w:r/>
      <w:bookmarkStart w:id="1043" w:name="_Toc297123535"/>
      <w:r/>
      <w:bookmarkStart w:id="1044" w:name="_Toc303539141"/>
      <w:r/>
      <w:bookmarkStart w:id="1045" w:name="_Toc304295561"/>
      <w:r/>
      <w:bookmarkStart w:id="1046" w:name="_Toc312677497"/>
      <w:r/>
      <w:bookmarkStart w:id="1047" w:name="_Toc300934984"/>
      <w:r/>
      <w:bookmarkStart w:id="1048" w:name="_Toc312678023"/>
      <w:r/>
      <w:bookmarkStart w:id="1049" w:name="_Toc318581174"/>
      <w:r>
        <w:rPr>
          <w:rFonts w:hint="eastAsia" w:ascii="宋体" w:hAnsi="宋体" w:eastAsia="宋体" w:cs="宋体"/>
          <w:sz w:val="21"/>
          <w:szCs w:val="21"/>
          <w:highlight w:val="none"/>
        </w:rPr>
        <w:t xml:space="preserve">.1.2 试验设备</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施工现场需要配置的试验场所：</w:t>
      </w:r>
      <w:bookmarkEnd w:id="1042"/>
      <w:r/>
      <w:bookmarkEnd w:id="1043"/>
      <w:r/>
      <w:bookmarkEnd w:id="1044"/>
      <w:r/>
      <w:bookmarkEnd w:id="1045"/>
      <w:r/>
      <w:bookmarkEnd w:id="1046"/>
      <w:r/>
      <w:bookmarkEnd w:id="1047"/>
      <w:r/>
      <w:bookmarkEnd w:id="1048"/>
      <w:r/>
      <w:bookmarkStart w:id="1050" w:name="_Toc297216195"/>
      <w:r/>
      <w:bookmarkStart w:id="1051" w:name="_Toc303539142"/>
      <w:r/>
      <w:bookmarkStart w:id="1052" w:name="_Toc312677498"/>
      <w:r/>
      <w:bookmarkStart w:id="1053" w:name="_Toc312678024"/>
      <w:r/>
      <w:bookmarkStart w:id="1054" w:name="_Toc304295562"/>
      <w:r/>
      <w:bookmarkStart w:id="1055" w:name="_Toc297123536"/>
      <w:r/>
      <w:bookmarkStart w:id="1056" w:name="_Toc300934985"/>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施工现场需要配备的试验设备：</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施工现场需要具备的其他试验条件：</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outlineLvl w:val="0"/>
      </w:pPr>
      <w:r/>
      <w:bookmarkStart w:id="1057" w:name="_Toc54867160"/>
      <w:r/>
      <w:bookmarkStart w:id="1058" w:name="_Toc473034375"/>
      <w:r/>
      <w:bookmarkStart w:id="1059" w:name="_Toc11671830"/>
      <w:r/>
      <w:bookmarkStart w:id="1060" w:name="_Toc119597897"/>
      <w:r/>
      <w:bookmarkStart w:id="1061" w:name="_Toc41327816"/>
      <w:r/>
      <w:bookmarkStart w:id="1062" w:name="_Toc467144142"/>
      <w:r/>
      <w:bookmarkStart w:id="1063" w:name="_Toc499560845"/>
      <w:r/>
      <w:bookmarkStart w:id="1064" w:name="_Toc472686056"/>
      <w:r/>
      <w:bookmarkStart w:id="1065" w:name="_Toc9974943"/>
      <w:r/>
      <w:bookmarkStart w:id="1066" w:name="_Toc30622612"/>
      <w:r/>
      <w:bookmarkStart w:id="1067" w:name="_Toc30004153"/>
      <w:r>
        <w:rPr>
          <w:rFonts w:hint="eastAsia" w:ascii="宋体" w:hAnsi="宋体" w:eastAsia="宋体" w:cs="宋体"/>
          <w:b/>
          <w:sz w:val="21"/>
          <w:szCs w:val="21"/>
          <w:highlight w:val="none"/>
        </w:rPr>
        <w:t xml:space="preserve">9.4 现场工艺试验</w:t>
      </w:r>
      <w:bookmarkEnd w:id="1057"/>
      <w:r/>
      <w:bookmarkEnd w:id="1058"/>
      <w:r/>
      <w:bookmarkEnd w:id="1059"/>
      <w:r/>
      <w:bookmarkEnd w:id="1060"/>
      <w:r/>
      <w:bookmarkEnd w:id="1061"/>
      <w:r/>
      <w:bookmarkEnd w:id="1062"/>
      <w:r/>
      <w:bookmarkEnd w:id="1063"/>
      <w:r/>
      <w:bookmarkEnd w:id="1064"/>
      <w:r/>
      <w:bookmarkEnd w:id="1065"/>
      <w:r/>
      <w:bookmarkEnd w:id="1066"/>
      <w:r/>
      <w:bookmarkEnd w:id="1067"/>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现场工艺试验的有关约定：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bookmarkEnd w:id="1049"/>
      <w:r/>
      <w:bookmarkEnd w:id="1050"/>
      <w:r/>
      <w:bookmarkEnd w:id="1051"/>
      <w:r/>
      <w:bookmarkEnd w:id="1052"/>
      <w:r/>
      <w:bookmarkEnd w:id="1053"/>
      <w:r/>
      <w:bookmarkEnd w:id="1054"/>
      <w:r/>
      <w:bookmarkEnd w:id="1055"/>
      <w:r/>
      <w:bookmarkEnd w:id="1056"/>
      <w:r/>
      <w:r/>
    </w:p>
    <w:p>
      <w:pPr>
        <w:pStyle w:val="1341"/>
        <w:spacing w:before="0" w:after="0" w:line="440" w:lineRule="exact"/>
        <w:rPr>
          <w:rFonts w:hint="eastAsia" w:ascii="宋体" w:hAnsi="宋体" w:eastAsia="宋体" w:cs="宋体"/>
          <w:sz w:val="21"/>
          <w:szCs w:val="21"/>
          <w:highlight w:val="none"/>
        </w:rPr>
      </w:pPr>
      <w:r/>
      <w:bookmarkStart w:id="1068" w:name="_Toc351203642"/>
      <w:r>
        <w:rPr>
          <w:rFonts w:hint="eastAsia" w:ascii="宋体" w:hAnsi="宋体" w:eastAsia="宋体" w:cs="宋体"/>
          <w:sz w:val="21"/>
          <w:szCs w:val="21"/>
          <w:highlight w:val="none"/>
        </w:rPr>
        <w:t xml:space="preserve">1</w:t>
      </w:r>
      <w:bookmarkEnd w:id="1023"/>
      <w:r/>
      <w:bookmarkEnd w:id="1024"/>
      <w:r/>
      <w:bookmarkEnd w:id="1025"/>
      <w:r/>
      <w:bookmarkEnd w:id="1026"/>
      <w:r/>
      <w:bookmarkEnd w:id="1027"/>
      <w:r/>
      <w:bookmarkEnd w:id="1028"/>
      <w:r/>
      <w:bookmarkEnd w:id="1029"/>
      <w:r/>
      <w:bookmarkEnd w:id="1030"/>
      <w:r/>
      <w:bookmarkEnd w:id="1031"/>
      <w:r/>
      <w:bookmarkEnd w:id="1032"/>
      <w:r/>
      <w:bookmarkEnd w:id="1033"/>
      <w:r/>
      <w:bookmarkEnd w:id="1034"/>
      <w:r/>
      <w:bookmarkStart w:id="1069" w:name="_Toc296503193"/>
      <w:r/>
      <w:bookmarkStart w:id="1070" w:name="_Toc297120493"/>
      <w:r/>
      <w:bookmarkStart w:id="1071" w:name="_Toc300934989"/>
      <w:r/>
      <w:bookmarkStart w:id="1072" w:name="_Toc296346694"/>
      <w:r/>
      <w:bookmarkStart w:id="1073" w:name="_Toc297123540"/>
      <w:r/>
      <w:bookmarkStart w:id="1074" w:name="_Toc292559903"/>
      <w:r/>
      <w:bookmarkStart w:id="1075" w:name="_Toc296891021"/>
      <w:r/>
      <w:bookmarkStart w:id="1076" w:name="_Toc304295566"/>
      <w:r/>
      <w:bookmarkStart w:id="1077" w:name="_Toc303539146"/>
      <w:r/>
      <w:bookmarkStart w:id="1078" w:name="_Toc297048379"/>
      <w:r/>
      <w:bookmarkStart w:id="1079" w:name="_Toc297216199"/>
      <w:r/>
      <w:bookmarkStart w:id="1080" w:name="_Toc292559398"/>
      <w:r/>
      <w:bookmarkStart w:id="1081" w:name="_Toc296891233"/>
      <w:r/>
      <w:bookmarkStart w:id="1082" w:name="_Toc296944532"/>
      <w:r/>
      <w:bookmarkStart w:id="1083" w:name="_Toc296347192"/>
      <w:r/>
      <w:bookmarkStart w:id="1084" w:name="_Toc312677499"/>
      <w:r/>
      <w:bookmarkStart w:id="1085" w:name="_Toc312678025"/>
      <w:r/>
      <w:bookmarkStart w:id="1086" w:name="_Toc267251435"/>
      <w:r/>
      <w:bookmarkStart w:id="1087" w:name="_Toc267251439"/>
      <w:r/>
      <w:bookmarkStart w:id="1088" w:name="_Toc267251441"/>
      <w:r/>
      <w:bookmarkStart w:id="1089" w:name="_Toc267251433"/>
      <w:r/>
      <w:bookmarkStart w:id="1090" w:name="_Toc267251440"/>
      <w:r/>
      <w:bookmarkStart w:id="1091" w:name="_Toc267251437"/>
      <w:r/>
      <w:bookmarkStart w:id="1092" w:name="_Toc267251442"/>
      <w:r>
        <w:rPr>
          <w:rFonts w:hint="eastAsia" w:ascii="宋体" w:hAnsi="宋体" w:eastAsia="宋体" w:cs="宋体"/>
          <w:sz w:val="21"/>
          <w:szCs w:val="21"/>
          <w:highlight w:val="none"/>
        </w:rPr>
        <w:t xml:space="preserve">0. 变更</w:t>
      </w:r>
      <w:bookmarkEnd w:id="1068"/>
      <w:r/>
      <w:bookmarkEnd w:id="1069"/>
      <w:r/>
      <w:bookmarkEnd w:id="1070"/>
      <w:r/>
      <w:bookmarkEnd w:id="1071"/>
      <w:r/>
      <w:bookmarkEnd w:id="1072"/>
      <w:r/>
      <w:bookmarkEnd w:id="1073"/>
      <w:r/>
      <w:bookmarkEnd w:id="1074"/>
      <w:r/>
      <w:bookmarkEnd w:id="1075"/>
      <w:r/>
      <w:bookmarkEnd w:id="1076"/>
      <w:r/>
      <w:bookmarkEnd w:id="1077"/>
      <w:r/>
      <w:bookmarkEnd w:id="1078"/>
      <w:r/>
      <w:bookmarkEnd w:id="1079"/>
      <w:r/>
      <w:bookmarkEnd w:id="1080"/>
      <w:r/>
      <w:bookmarkEnd w:id="1081"/>
      <w:r/>
      <w:bookmarkEnd w:id="1082"/>
      <w:r/>
      <w:bookmarkEnd w:id="1083"/>
      <w:r/>
      <w:bookmarkEnd w:id="1084"/>
      <w:r/>
      <w:bookmarkEnd w:id="1085"/>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w:t>
      </w:r>
      <w:bookmarkStart w:id="1093" w:name="_Toc296346695"/>
      <w:r/>
      <w:bookmarkStart w:id="1094" w:name="_Toc292559399"/>
      <w:r/>
      <w:bookmarkStart w:id="1095" w:name="_Toc292559904"/>
      <w:r/>
      <w:bookmarkStart w:id="1096" w:name="_Toc297123541"/>
      <w:r/>
      <w:bookmarkStart w:id="1097" w:name="_Toc303539147"/>
      <w:r/>
      <w:bookmarkStart w:id="1098" w:name="_Toc297048380"/>
      <w:r/>
      <w:bookmarkStart w:id="1099" w:name="_Toc304295567"/>
      <w:r/>
      <w:bookmarkStart w:id="1100" w:name="_Toc312678026"/>
      <w:r/>
      <w:bookmarkStart w:id="1101" w:name="_Toc296891234"/>
      <w:r/>
      <w:bookmarkStart w:id="1102" w:name="_Toc297216200"/>
      <w:r/>
      <w:bookmarkStart w:id="1103" w:name="_Toc296503194"/>
      <w:r/>
      <w:bookmarkStart w:id="1104" w:name="_Toc296347193"/>
      <w:r/>
      <w:bookmarkStart w:id="1105" w:name="_Toc312677500"/>
      <w:r/>
      <w:bookmarkStart w:id="1106" w:name="_Toc296891022"/>
      <w:r/>
      <w:bookmarkStart w:id="1107" w:name="_Toc297120494"/>
      <w:r/>
      <w:bookmarkStart w:id="1108" w:name="_Toc300934990"/>
      <w:r/>
      <w:bookmarkStart w:id="1109" w:name="_Toc296944533"/>
      <w:r>
        <w:rPr>
          <w:rFonts w:hint="eastAsia" w:ascii="宋体" w:hAnsi="宋体" w:eastAsia="宋体" w:cs="宋体"/>
          <w:b/>
          <w:sz w:val="21"/>
          <w:szCs w:val="21"/>
          <w:highlight w:val="none"/>
        </w:rPr>
        <w:t xml:space="preserve">0.1变更的范围</w:t>
      </w:r>
      <w:r/>
    </w:p>
    <w:p>
      <w:pPr>
        <w:pStyle w:val="1342"/>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关于变更的范围的约定：</w:t>
      </w:r>
      <w:r>
        <w:rPr>
          <w:rFonts w:hint="eastAsia" w:ascii="宋体" w:hAnsi="宋体" w:eastAsia="宋体" w:cs="宋体"/>
          <w:sz w:val="21"/>
          <w:szCs w:val="21"/>
          <w:highlight w:val="none"/>
          <w:u w:val="single"/>
        </w:rPr>
        <w:t xml:space="preserve">按泰政办发[2007]193号文件执行和泰政办发[2012]170号文件执行 </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outlineLvl w:val="0"/>
      </w:pPr>
      <w:r/>
      <w:bookmarkStart w:id="1110" w:name="_Toc473034376"/>
      <w:r/>
      <w:bookmarkStart w:id="1111" w:name="_Toc119597898"/>
      <w:r/>
      <w:bookmarkStart w:id="1112" w:name="_Toc30622613"/>
      <w:r/>
      <w:bookmarkStart w:id="1113" w:name="_Toc41327817"/>
      <w:r/>
      <w:bookmarkStart w:id="1114" w:name="_Toc54867161"/>
      <w:r/>
      <w:bookmarkStart w:id="1115" w:name="_Toc11671831"/>
      <w:r/>
      <w:bookmarkStart w:id="1116" w:name="_Toc30004154"/>
      <w:r/>
      <w:bookmarkStart w:id="1117" w:name="_Toc499560846"/>
      <w:r/>
      <w:bookmarkStart w:id="1118" w:name="_Toc467144143"/>
      <w:r/>
      <w:bookmarkStart w:id="1119" w:name="_Toc9974944"/>
      <w:r/>
      <w:bookmarkStart w:id="1120" w:name="_Toc472686057"/>
      <w:r>
        <w:rPr>
          <w:rFonts w:hint="eastAsia" w:ascii="宋体" w:hAnsi="宋体" w:eastAsia="宋体" w:cs="宋体"/>
          <w:b/>
          <w:sz w:val="21"/>
          <w:szCs w:val="21"/>
          <w:highlight w:val="none"/>
        </w:rPr>
        <w:t xml:space="preserve">10.4 变更估价</w:t>
      </w:r>
      <w:bookmarkEnd w:id="1110"/>
      <w:r/>
      <w:bookmarkEnd w:id="1111"/>
      <w:r/>
      <w:bookmarkEnd w:id="1112"/>
      <w:r/>
      <w:bookmarkEnd w:id="1113"/>
      <w:r/>
      <w:bookmarkEnd w:id="1114"/>
      <w:r/>
      <w:bookmarkEnd w:id="1115"/>
      <w:r/>
      <w:bookmarkEnd w:id="1116"/>
      <w:r/>
      <w:bookmarkEnd w:id="1117"/>
      <w:r/>
      <w:bookmarkEnd w:id="1118"/>
      <w:r/>
      <w:bookmarkEnd w:id="1119"/>
      <w:r/>
      <w:bookmarkEnd w:id="1120"/>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10.4.1 变更估价原则</w:t>
      </w:r>
      <w:r/>
    </w:p>
    <w:p>
      <w:pPr>
        <w:pStyle w:val="1342"/>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w:t>
      </w:r>
      <w:r>
        <w:rPr>
          <w:rFonts w:hint="eastAsia" w:ascii="宋体" w:hAnsi="宋体" w:eastAsia="宋体" w:cs="宋体"/>
          <w:sz w:val="21"/>
          <w:szCs w:val="21"/>
          <w:highlight w:val="none"/>
          <w:u w:val="single"/>
        </w:rPr>
        <w:t xml:space="preserve">已标价工程量清单中有适用于变更工程项目的，应采用该项目的单价；已标价工程量清单中没有适用但有类似于变更工程项目的，可在合理范</w:t>
      </w:r>
      <w:r>
        <w:rPr>
          <w:rFonts w:hint="eastAsia" w:ascii="宋体" w:hAnsi="宋体" w:eastAsia="宋体" w:cs="宋体"/>
          <w:sz w:val="21"/>
          <w:szCs w:val="21"/>
          <w:highlight w:val="none"/>
          <w:u w:val="single"/>
        </w:rPr>
        <w:t xml:space="preserve">围内参照类似项目的单价；已标价工程量清单中没有适用也没有类似于变更工程项目的，应由承包人根据变更工程资料、计算规则和计价办法、工程造价管理机构发布的信息价格和承包人报价浮动率提出变更工程项目的单价，并应报发包人确认后调整 (承包人报价浮动率 L=(1-中标价/招标控制价)X100%)；已标价工程量清单中没有适用也没有类似于变更工程项目的，且工程造价管理机构发布的信息价缺价的，应由承包人根据变更工程资料、计算规则和计价办法和通过市场调查等取得有合法依据的市场价格提出变更工程项目的单价，并应报发包人确认后调整 </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w:t>
      </w:r>
      <w:bookmarkEnd w:id="1093"/>
      <w:r/>
      <w:bookmarkEnd w:id="1094"/>
      <w:r/>
      <w:bookmarkEnd w:id="1095"/>
      <w:r/>
      <w:bookmarkEnd w:id="1096"/>
      <w:r/>
      <w:bookmarkEnd w:id="1097"/>
      <w:r/>
      <w:bookmarkEnd w:id="1098"/>
      <w:r/>
      <w:bookmarkEnd w:id="1099"/>
      <w:r/>
      <w:bookmarkEnd w:id="1100"/>
      <w:r/>
      <w:bookmarkEnd w:id="1101"/>
      <w:r/>
      <w:bookmarkEnd w:id="1102"/>
      <w:r/>
      <w:bookmarkEnd w:id="1103"/>
      <w:r/>
      <w:bookmarkEnd w:id="1104"/>
      <w:r/>
      <w:bookmarkEnd w:id="1105"/>
      <w:r/>
      <w:bookmarkEnd w:id="1106"/>
      <w:r/>
      <w:bookmarkEnd w:id="1107"/>
      <w:r/>
      <w:bookmarkEnd w:id="1108"/>
      <w:r/>
      <w:bookmarkEnd w:id="1109"/>
      <w:r/>
      <w:bookmarkStart w:id="1121" w:name="_Toc296503197"/>
      <w:r/>
      <w:bookmarkStart w:id="1122" w:name="_Toc303539150"/>
      <w:r/>
      <w:bookmarkStart w:id="1123" w:name="_Toc297120497"/>
      <w:r/>
      <w:bookmarkStart w:id="1124" w:name="_Toc292559907"/>
      <w:r/>
      <w:bookmarkStart w:id="1125" w:name="_Toc297123544"/>
      <w:r/>
      <w:bookmarkStart w:id="1126" w:name="_Toc300934993"/>
      <w:r/>
      <w:bookmarkStart w:id="1127" w:name="_Toc292559402"/>
      <w:r/>
      <w:bookmarkStart w:id="1128" w:name="_Toc296891237"/>
      <w:r/>
      <w:bookmarkStart w:id="1129" w:name="_Toc296346698"/>
      <w:r/>
      <w:bookmarkStart w:id="1130" w:name="_Toc296347196"/>
      <w:r/>
      <w:bookmarkStart w:id="1131" w:name="_Toc296944536"/>
      <w:r/>
      <w:bookmarkStart w:id="1132" w:name="_Toc297216203"/>
      <w:r/>
      <w:bookmarkStart w:id="1133" w:name="_Toc296891025"/>
      <w:r/>
      <w:bookmarkStart w:id="1134" w:name="_Toc297048383"/>
      <w:r/>
      <w:bookmarkStart w:id="1135" w:name="_Toc312678029"/>
      <w:r/>
      <w:bookmarkStart w:id="1136" w:name="_Toc312677503"/>
      <w:r/>
      <w:bookmarkStart w:id="1137" w:name="_Toc304295570"/>
      <w:r>
        <w:rPr>
          <w:rFonts w:hint="eastAsia" w:ascii="宋体" w:hAnsi="宋体" w:eastAsia="宋体" w:cs="宋体"/>
          <w:b/>
          <w:sz w:val="21"/>
          <w:szCs w:val="21"/>
          <w:highlight w:val="none"/>
        </w:rPr>
        <w:t xml:space="preserve">0.5承</w:t>
      </w:r>
      <w:bookmarkEnd w:id="1121"/>
      <w:r/>
      <w:bookmarkEnd w:id="1122"/>
      <w:r/>
      <w:bookmarkEnd w:id="1123"/>
      <w:r/>
      <w:bookmarkEnd w:id="1124"/>
      <w:r/>
      <w:bookmarkEnd w:id="1125"/>
      <w:r/>
      <w:bookmarkEnd w:id="1126"/>
      <w:r/>
      <w:bookmarkEnd w:id="1127"/>
      <w:r/>
      <w:bookmarkEnd w:id="1128"/>
      <w:r/>
      <w:bookmarkEnd w:id="1129"/>
      <w:r/>
      <w:bookmarkEnd w:id="1130"/>
      <w:r/>
      <w:bookmarkEnd w:id="1131"/>
      <w:r/>
      <w:bookmarkEnd w:id="1132"/>
      <w:r/>
      <w:bookmarkEnd w:id="1133"/>
      <w:r/>
      <w:bookmarkEnd w:id="1134"/>
      <w:r/>
      <w:bookmarkStart w:id="1138" w:name="_Toc296891243"/>
      <w:r/>
      <w:bookmarkStart w:id="1139" w:name="_Toc297123545"/>
      <w:r/>
      <w:bookmarkStart w:id="1140" w:name="_Toc296347202"/>
      <w:r/>
      <w:bookmarkStart w:id="1141" w:name="_Toc297120503"/>
      <w:r/>
      <w:bookmarkStart w:id="1142" w:name="_Toc296503203"/>
      <w:r/>
      <w:bookmarkStart w:id="1143" w:name="_Toc296891031"/>
      <w:r/>
      <w:bookmarkStart w:id="1144" w:name="_Toc292559408"/>
      <w:r/>
      <w:bookmarkStart w:id="1145" w:name="_Toc296944542"/>
      <w:r/>
      <w:bookmarkStart w:id="1146" w:name="_Toc292559913"/>
      <w:r/>
      <w:bookmarkStart w:id="1147" w:name="_Toc296346704"/>
      <w:r/>
      <w:bookmarkStart w:id="1148" w:name="_Toc297048389"/>
      <w:r/>
      <w:bookmarkStart w:id="1149" w:name="_Toc297216204"/>
      <w:r/>
      <w:bookmarkStart w:id="1150" w:name="_Toc303539151"/>
      <w:r/>
      <w:bookmarkStart w:id="1151" w:name="_Toc300934994"/>
      <w:r>
        <w:rPr>
          <w:rFonts w:hint="eastAsia" w:ascii="宋体" w:hAnsi="宋体" w:eastAsia="宋体" w:cs="宋体"/>
          <w:b/>
          <w:sz w:val="21"/>
          <w:szCs w:val="21"/>
          <w:highlight w:val="none"/>
        </w:rPr>
        <w:t xml:space="preserve">包人的合理化建议</w:t>
      </w:r>
      <w:bookmarkEnd w:id="1135"/>
      <w:r/>
      <w:bookmarkEnd w:id="1136"/>
      <w:r/>
      <w:bookmarkEnd w:id="1137"/>
      <w:r/>
      <w:bookmarkEnd w:id="1138"/>
      <w:r/>
      <w:bookmarkEnd w:id="1139"/>
      <w:r/>
      <w:bookmarkEnd w:id="1140"/>
      <w:r/>
      <w:bookmarkEnd w:id="1141"/>
      <w:r/>
      <w:bookmarkEnd w:id="1142"/>
      <w:r/>
      <w:bookmarkEnd w:id="1143"/>
      <w:r/>
      <w:bookmarkEnd w:id="1144"/>
      <w:r/>
      <w:bookmarkEnd w:id="1145"/>
      <w:r/>
      <w:bookmarkEnd w:id="1146"/>
      <w:r/>
      <w:bookmarkEnd w:id="1147"/>
      <w:r/>
      <w:bookmarkEnd w:id="1148"/>
      <w:r/>
      <w:bookmarkEnd w:id="1149"/>
      <w:r/>
      <w:bookmarkEnd w:id="1150"/>
      <w:r/>
      <w:bookmarkEnd w:id="1151"/>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监理人审查承包人合理化建议的期限：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发包人审批承包人合理化建议的期限：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承</w:t>
      </w:r>
      <w:bookmarkStart w:id="1152" w:name="_Toc318581175"/>
      <w:r/>
      <w:bookmarkStart w:id="1153" w:name="_Toc292559914"/>
      <w:r/>
      <w:bookmarkStart w:id="1154" w:name="_Toc296346705"/>
      <w:r/>
      <w:bookmarkStart w:id="1155" w:name="_Toc300934995"/>
      <w:r/>
      <w:bookmarkStart w:id="1156" w:name="_Toc304295571"/>
      <w:r/>
      <w:bookmarkStart w:id="1157" w:name="_Toc297048390"/>
      <w:r/>
      <w:bookmarkStart w:id="1158" w:name="_Toc303539152"/>
      <w:r/>
      <w:bookmarkStart w:id="1159" w:name="_Toc296944543"/>
      <w:r/>
      <w:bookmarkStart w:id="1160" w:name="_Toc312677504"/>
      <w:r/>
      <w:bookmarkStart w:id="1161" w:name="_Toc292559409"/>
      <w:r/>
      <w:bookmarkStart w:id="1162" w:name="_Toc296891244"/>
      <w:r/>
      <w:bookmarkStart w:id="1163" w:name="_Toc296503204"/>
      <w:r/>
      <w:bookmarkStart w:id="1164" w:name="_Toc296347203"/>
      <w:r/>
      <w:bookmarkStart w:id="1165" w:name="_Toc297216205"/>
      <w:r/>
      <w:bookmarkStart w:id="1166" w:name="_Toc297123546"/>
      <w:r/>
      <w:bookmarkStart w:id="1167" w:name="_Toc312678030"/>
      <w:r/>
      <w:bookmarkStart w:id="1168" w:name="_Toc297120504"/>
      <w:r/>
      <w:bookmarkStart w:id="1169" w:name="_Toc296891032"/>
      <w:r>
        <w:rPr>
          <w:rFonts w:hint="eastAsia" w:ascii="宋体" w:hAnsi="宋体" w:eastAsia="宋体" w:cs="宋体"/>
          <w:sz w:val="21"/>
          <w:szCs w:val="21"/>
          <w:highlight w:val="none"/>
        </w:rPr>
        <w:t xml:space="preserve">包人提出的合理化建议降低了合同价格或者提高了工程经济效益的奖励的方法和金额为：</w:t>
      </w:r>
      <w:r>
        <w:rPr>
          <w:rFonts w:hint="eastAsia" w:ascii="宋体" w:hAnsi="宋体" w:eastAsia="宋体" w:cs="宋体"/>
          <w:sz w:val="21"/>
          <w:szCs w:val="21"/>
          <w:highlight w:val="none"/>
          <w:u w:val="single"/>
        </w:rPr>
        <w:t xml:space="preserve">另行协商</w:t>
      </w:r>
      <w:r>
        <w:rPr>
          <w:rFonts w:hint="eastAsia" w:ascii="宋体" w:hAnsi="宋体" w:eastAsia="宋体" w:cs="宋体"/>
          <w:sz w:val="21"/>
          <w:szCs w:val="21"/>
          <w:highlight w:val="none"/>
        </w:rPr>
        <w:t xml:space="preserve">。</w:t>
      </w:r>
      <w:bookmarkEnd w:id="1152"/>
      <w:r/>
      <w:bookmarkEnd w:id="1153"/>
      <w:r/>
      <w:bookmarkEnd w:id="1154"/>
      <w:r/>
      <w:bookmarkEnd w:id="1155"/>
      <w:r/>
      <w:bookmarkEnd w:id="1156"/>
      <w:r/>
      <w:bookmarkEnd w:id="1157"/>
      <w:r/>
      <w:bookmarkEnd w:id="1158"/>
      <w:r/>
      <w:bookmarkEnd w:id="1159"/>
      <w:r/>
      <w:bookmarkEnd w:id="1160"/>
      <w:r/>
      <w:bookmarkEnd w:id="1161"/>
      <w:r/>
      <w:bookmarkEnd w:id="1162"/>
      <w:r/>
      <w:bookmarkEnd w:id="1163"/>
      <w:r/>
      <w:bookmarkEnd w:id="1164"/>
      <w:r/>
      <w:bookmarkEnd w:id="1165"/>
      <w:r/>
      <w:bookmarkEnd w:id="1166"/>
      <w:r/>
      <w:bookmarkEnd w:id="1167"/>
      <w:r/>
      <w:bookmarkEnd w:id="1168"/>
      <w:r/>
      <w:bookmarkEnd w:id="1169"/>
      <w:r/>
      <w:r/>
    </w:p>
    <w:p>
      <w:pPr>
        <w:pStyle w:val="1342"/>
        <w:ind w:firstLine="422"/>
        <w:spacing w:line="440" w:lineRule="exact"/>
        <w:rPr>
          <w:rFonts w:hint="eastAsia" w:ascii="宋体" w:hAnsi="宋体" w:eastAsia="宋体" w:cs="宋体"/>
          <w:b/>
          <w:sz w:val="21"/>
          <w:szCs w:val="21"/>
          <w:highlight w:val="none"/>
        </w:rPr>
        <w:outlineLvl w:val="0"/>
      </w:pPr>
      <w:r/>
      <w:bookmarkStart w:id="1170" w:name="_Toc30622614"/>
      <w:r/>
      <w:bookmarkStart w:id="1171" w:name="_Toc9974945"/>
      <w:r/>
      <w:bookmarkStart w:id="1172" w:name="_Toc499560847"/>
      <w:r/>
      <w:bookmarkStart w:id="1173" w:name="_Toc54867162"/>
      <w:r/>
      <w:bookmarkStart w:id="1174" w:name="_Toc472686058"/>
      <w:r/>
      <w:bookmarkStart w:id="1175" w:name="_Toc467144144"/>
      <w:r/>
      <w:bookmarkStart w:id="1176" w:name="_Toc11671832"/>
      <w:r/>
      <w:bookmarkStart w:id="1177" w:name="_Toc30004155"/>
      <w:r/>
      <w:bookmarkStart w:id="1178" w:name="_Toc473034377"/>
      <w:r/>
      <w:bookmarkStart w:id="1179" w:name="_Toc41327818"/>
      <w:r/>
      <w:bookmarkStart w:id="1180" w:name="_Toc119597899"/>
      <w:r>
        <w:rPr>
          <w:rFonts w:hint="eastAsia" w:ascii="宋体" w:hAnsi="宋体" w:eastAsia="宋体" w:cs="宋体"/>
          <w:b/>
          <w:sz w:val="21"/>
          <w:szCs w:val="21"/>
          <w:highlight w:val="none"/>
        </w:rPr>
        <w:t xml:space="preserve">1</w:t>
      </w:r>
      <w:bookmarkStart w:id="1181" w:name="_Toc292559909"/>
      <w:r/>
      <w:bookmarkStart w:id="1182" w:name="_Toc304295574"/>
      <w:r/>
      <w:bookmarkStart w:id="1183" w:name="_Toc297216207"/>
      <w:r/>
      <w:bookmarkStart w:id="1184" w:name="_Toc303539154"/>
      <w:r/>
      <w:bookmarkStart w:id="1185" w:name="_Toc300934997"/>
      <w:r/>
      <w:bookmarkStart w:id="1186" w:name="_Toc312678033"/>
      <w:r/>
      <w:bookmarkStart w:id="1187" w:name="_Toc297048385"/>
      <w:r/>
      <w:bookmarkStart w:id="1188" w:name="_Toc296891027"/>
      <w:r/>
      <w:bookmarkStart w:id="1189" w:name="_Toc297123548"/>
      <w:r/>
      <w:bookmarkStart w:id="1190" w:name="_Toc312677507"/>
      <w:r/>
      <w:bookmarkStart w:id="1191" w:name="_Toc296346700"/>
      <w:r/>
      <w:bookmarkStart w:id="1192" w:name="_Toc296347198"/>
      <w:r/>
      <w:bookmarkStart w:id="1193" w:name="_Toc296944538"/>
      <w:r/>
      <w:bookmarkStart w:id="1194" w:name="_Toc296891239"/>
      <w:r/>
      <w:bookmarkStart w:id="1195" w:name="_Toc297120499"/>
      <w:r/>
      <w:bookmarkStart w:id="1196" w:name="_Toc296503199"/>
      <w:r/>
      <w:bookmarkStart w:id="1197" w:name="_Toc292559404"/>
      <w:r>
        <w:rPr>
          <w:rFonts w:hint="eastAsia" w:ascii="宋体" w:hAnsi="宋体" w:eastAsia="宋体" w:cs="宋体"/>
          <w:b/>
          <w:sz w:val="21"/>
          <w:szCs w:val="21"/>
          <w:highlight w:val="none"/>
        </w:rPr>
        <w:t xml:space="preserve">0.7 暂估价</w:t>
      </w:r>
      <w:bookmarkEnd w:id="1170"/>
      <w:r/>
      <w:bookmarkEnd w:id="1171"/>
      <w:r/>
      <w:bookmarkEnd w:id="1172"/>
      <w:r/>
      <w:bookmarkEnd w:id="1173"/>
      <w:r/>
      <w:bookmarkEnd w:id="1174"/>
      <w:r/>
      <w:bookmarkEnd w:id="1175"/>
      <w:r/>
      <w:bookmarkEnd w:id="1176"/>
      <w:r/>
      <w:bookmarkEnd w:id="1177"/>
      <w:r/>
      <w:bookmarkEnd w:id="1178"/>
      <w:r/>
      <w:bookmarkEnd w:id="1179"/>
      <w:r/>
      <w:bookmarkEnd w:id="1180"/>
      <w:r/>
      <w:bookmarkEnd w:id="1181"/>
      <w:r/>
      <w:bookmarkEnd w:id="1182"/>
      <w:r/>
      <w:bookmarkEnd w:id="1183"/>
      <w:r/>
      <w:bookmarkEnd w:id="1184"/>
      <w:r/>
      <w:bookmarkEnd w:id="1185"/>
      <w:r/>
      <w:bookmarkEnd w:id="1186"/>
      <w:r/>
      <w:bookmarkEnd w:id="1187"/>
      <w:r/>
      <w:bookmarkEnd w:id="1188"/>
      <w:r/>
      <w:bookmarkEnd w:id="1189"/>
      <w:r/>
      <w:bookmarkEnd w:id="1190"/>
      <w:r/>
      <w:bookmarkEnd w:id="1191"/>
      <w:r/>
      <w:bookmarkEnd w:id="1192"/>
      <w:r/>
      <w:bookmarkEnd w:id="1193"/>
      <w:r/>
      <w:bookmarkEnd w:id="1194"/>
      <w:r/>
      <w:bookmarkEnd w:id="1195"/>
      <w:r/>
      <w:bookmarkEnd w:id="1196"/>
      <w:r/>
      <w:bookmarkEnd w:id="1197"/>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暂</w:t>
      </w:r>
      <w:bookmarkStart w:id="1198" w:name="_Toc318581176"/>
      <w:r/>
      <w:bookmarkStart w:id="1199" w:name="_Toc312678034"/>
      <w:r/>
      <w:bookmarkStart w:id="1200" w:name="_Toc312677508"/>
      <w:r>
        <w:rPr>
          <w:rFonts w:hint="eastAsia" w:ascii="宋体" w:hAnsi="宋体" w:eastAsia="宋体" w:cs="宋体"/>
          <w:sz w:val="21"/>
          <w:szCs w:val="21"/>
          <w:highlight w:val="none"/>
        </w:rPr>
        <w:t xml:space="preserve">估价材料和工程设备的明细详见附件11：《暂估价一览表》。</w:t>
      </w:r>
      <w:bookmarkEnd w:id="1198"/>
      <w:r/>
      <w:bookmarkEnd w:id="1199"/>
      <w:r/>
      <w:bookmarkEnd w:id="1200"/>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bookmarkStart w:id="1201" w:name="_Toc312677509"/>
      <w:r/>
      <w:bookmarkStart w:id="1202" w:name="_Toc318581177"/>
      <w:r/>
      <w:bookmarkStart w:id="1203" w:name="_Toc312678035"/>
      <w:r>
        <w:rPr>
          <w:rFonts w:hint="eastAsia" w:ascii="宋体" w:hAnsi="宋体" w:eastAsia="宋体" w:cs="宋体"/>
          <w:sz w:val="21"/>
          <w:szCs w:val="21"/>
          <w:highlight w:val="none"/>
        </w:rPr>
        <w:t xml:space="preserve">0.7.1 依法必须招标的暂估价项目</w:t>
      </w:r>
      <w:bookmarkEnd w:id="1201"/>
      <w:r/>
      <w:bookmarkEnd w:id="1202"/>
      <w:r/>
      <w:bookmarkEnd w:id="1203"/>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对于依法必须招标的暂估价项目的确认和批准采取第</w:t>
      </w:r>
      <w:r>
        <w:rPr>
          <w:rFonts w:hint="eastAsia" w:ascii="宋体" w:hAnsi="宋体" w:eastAsia="宋体" w:cs="宋体"/>
          <w:sz w:val="21"/>
          <w:szCs w:val="21"/>
          <w:highlight w:val="none"/>
          <w:u w:val="single"/>
        </w:rPr>
        <w:t xml:space="preserve">1</w:t>
      </w:r>
      <w:r>
        <w:rPr>
          <w:rFonts w:hint="eastAsia" w:ascii="宋体" w:hAnsi="宋体" w:eastAsia="宋体" w:cs="宋体"/>
          <w:sz w:val="21"/>
          <w:szCs w:val="21"/>
          <w:highlight w:val="none"/>
        </w:rPr>
        <w:t xml:space="preserve">种方式确定。</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10.7.2 不属于依法必须招标的暂估价项目</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对于不属于依法必须招标的暂估价项目的确认和批准采取第</w:t>
      </w:r>
      <w:r>
        <w:rPr>
          <w:rFonts w:hint="eastAsia" w:ascii="宋体" w:hAnsi="宋体" w:eastAsia="宋体" w:cs="宋体"/>
          <w:sz w:val="21"/>
          <w:szCs w:val="21"/>
          <w:highlight w:val="none"/>
          <w:u w:val="single"/>
        </w:rPr>
        <w:t xml:space="preserve"> 1 </w:t>
      </w:r>
      <w:r>
        <w:rPr>
          <w:rFonts w:hint="eastAsia" w:ascii="宋体" w:hAnsi="宋体" w:eastAsia="宋体" w:cs="宋体"/>
          <w:sz w:val="21"/>
          <w:szCs w:val="21"/>
          <w:highlight w:val="none"/>
        </w:rPr>
        <w:t xml:space="preserve">种方式确定。</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第3种方式：承包人直接实施的暂估价项目</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承包人直接实施的暂估价项目的约定：</w:t>
      </w:r>
      <w:r>
        <w:rPr>
          <w:rFonts w:hint="eastAsia" w:ascii="宋体" w:hAnsi="宋体" w:eastAsia="宋体" w:cs="宋体"/>
          <w:sz w:val="21"/>
          <w:szCs w:val="21"/>
          <w:highlight w:val="none"/>
          <w:u w:val="single"/>
        </w:rPr>
        <w:t xml:space="preserve">由发包人、承包人双方共同认价，承包人负责采购 </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10.8 暂列金额</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合同当事人关于暂列金额使用的约定：</w:t>
      </w:r>
      <w:r>
        <w:rPr>
          <w:rFonts w:hint="eastAsia" w:ascii="宋体" w:hAnsi="宋体" w:eastAsia="宋体" w:cs="宋体"/>
          <w:sz w:val="21"/>
          <w:szCs w:val="21"/>
          <w:highlight w:val="none"/>
          <w:u w:val="single"/>
        </w:rPr>
        <w:t xml:space="preserve">执行通用条款  </w:t>
      </w:r>
      <w:r>
        <w:rPr>
          <w:rFonts w:hint="eastAsia" w:ascii="宋体" w:hAnsi="宋体" w:eastAsia="宋体" w:cs="宋体"/>
          <w:sz w:val="21"/>
          <w:szCs w:val="21"/>
          <w:highlight w:val="none"/>
        </w:rPr>
        <w:t xml:space="preserve">。</w:t>
      </w:r>
      <w:r/>
    </w:p>
    <w:p>
      <w:pPr>
        <w:pStyle w:val="1341"/>
        <w:spacing w:before="0" w:after="0" w:line="440" w:lineRule="exact"/>
        <w:rPr>
          <w:rFonts w:hint="eastAsia" w:ascii="宋体" w:hAnsi="宋体" w:eastAsia="宋体" w:cs="宋体"/>
          <w:sz w:val="21"/>
          <w:szCs w:val="21"/>
          <w:highlight w:val="none"/>
        </w:rPr>
      </w:pPr>
      <w:r/>
      <w:bookmarkStart w:id="1204" w:name="_Toc351203643"/>
      <w:r>
        <w:rPr>
          <w:rFonts w:hint="eastAsia" w:ascii="宋体" w:hAnsi="宋体" w:eastAsia="宋体" w:cs="宋体"/>
          <w:sz w:val="21"/>
          <w:szCs w:val="21"/>
          <w:highlight w:val="none"/>
        </w:rPr>
        <w:t xml:space="preserve">11. 价格调整</w:t>
      </w:r>
      <w:bookmarkEnd w:id="1086"/>
      <w:r/>
      <w:bookmarkEnd w:id="1087"/>
      <w:r/>
      <w:bookmarkEnd w:id="1088"/>
      <w:r/>
      <w:bookmarkEnd w:id="1089"/>
      <w:r/>
      <w:bookmarkEnd w:id="1090"/>
      <w:r/>
      <w:bookmarkEnd w:id="1091"/>
      <w:r/>
      <w:bookmarkEnd w:id="1204"/>
      <w:r/>
      <w:r/>
    </w:p>
    <w:p>
      <w:pPr>
        <w:pStyle w:val="1342"/>
        <w:ind w:firstLine="422"/>
        <w:spacing w:line="440" w:lineRule="exact"/>
        <w:rPr>
          <w:rFonts w:hint="eastAsia" w:ascii="宋体" w:hAnsi="宋体" w:eastAsia="宋体" w:cs="宋体"/>
          <w:b/>
          <w:sz w:val="21"/>
          <w:szCs w:val="21"/>
          <w:highlight w:val="none"/>
        </w:rPr>
      </w:pPr>
      <w:r/>
      <w:bookmarkStart w:id="1205" w:name="_Toc300935000"/>
      <w:r/>
      <w:bookmarkStart w:id="1206" w:name="_Toc292559406"/>
      <w:r/>
      <w:bookmarkStart w:id="1207" w:name="_Toc297048387"/>
      <w:r/>
      <w:bookmarkStart w:id="1208" w:name="_Toc296503201"/>
      <w:r/>
      <w:bookmarkStart w:id="1209" w:name="_Toc297123550"/>
      <w:r/>
      <w:bookmarkStart w:id="1210" w:name="_Toc292559911"/>
      <w:r/>
      <w:bookmarkStart w:id="1211" w:name="_Toc296944540"/>
      <w:r/>
      <w:bookmarkStart w:id="1212" w:name="_Toc297120501"/>
      <w:r/>
      <w:bookmarkStart w:id="1213" w:name="_Toc312678039"/>
      <w:r/>
      <w:bookmarkStart w:id="1214" w:name="_Toc296891241"/>
      <w:r/>
      <w:bookmarkStart w:id="1215" w:name="_Toc297216209"/>
      <w:r/>
      <w:bookmarkStart w:id="1216" w:name="_Toc296891029"/>
      <w:r/>
      <w:bookmarkStart w:id="1217" w:name="_Toc296346702"/>
      <w:r/>
      <w:bookmarkStart w:id="1218" w:name="_Toc296347200"/>
      <w:r/>
      <w:bookmarkStart w:id="1219" w:name="_Toc303539157"/>
      <w:r/>
      <w:bookmarkStart w:id="1220" w:name="_Toc304295577"/>
      <w:r/>
      <w:bookmarkStart w:id="1221" w:name="_Toc304295581"/>
      <w:r/>
      <w:bookmarkStart w:id="1222" w:name="_Toc297123554"/>
      <w:r/>
      <w:bookmarkStart w:id="1223" w:name="_Toc312678042"/>
      <w:r/>
      <w:bookmarkStart w:id="1224" w:name="_Toc297216213"/>
      <w:r/>
      <w:bookmarkStart w:id="1225" w:name="_Toc303539161"/>
      <w:r/>
      <w:bookmarkStart w:id="1226" w:name="_Toc300935004"/>
      <w:r/>
      <w:bookmarkStart w:id="1227" w:name="_Toc296346708"/>
      <w:r/>
      <w:bookmarkStart w:id="1228" w:name="_Toc292559412"/>
      <w:r/>
      <w:bookmarkStart w:id="1229" w:name="_Toc296891035"/>
      <w:r/>
      <w:bookmarkStart w:id="1230" w:name="_Toc292559917"/>
      <w:r/>
      <w:bookmarkStart w:id="1231" w:name="_Toc296347206"/>
      <w:r/>
      <w:bookmarkStart w:id="1232" w:name="_Toc297048393"/>
      <w:r/>
      <w:bookmarkStart w:id="1233" w:name="_Toc296891247"/>
      <w:r/>
      <w:bookmarkStart w:id="1234" w:name="_Toc296944546"/>
      <w:r/>
      <w:bookmarkStart w:id="1235" w:name="_Toc297120507"/>
      <w:r/>
      <w:bookmarkStart w:id="1236" w:name="_Toc296503207"/>
      <w:r>
        <w:rPr>
          <w:rFonts w:hint="eastAsia" w:ascii="宋体" w:hAnsi="宋体" w:eastAsia="宋体" w:cs="宋体"/>
          <w:b/>
          <w:sz w:val="21"/>
          <w:szCs w:val="21"/>
          <w:highlight w:val="none"/>
        </w:rPr>
        <w:t xml:space="preserve">11.1 市场价格波动引起的调整</w:t>
      </w:r>
      <w:bookmarkEnd w:id="1205"/>
      <w:r/>
      <w:bookmarkEnd w:id="1206"/>
      <w:r/>
      <w:bookmarkEnd w:id="1207"/>
      <w:r/>
      <w:bookmarkEnd w:id="1208"/>
      <w:r/>
      <w:bookmarkEnd w:id="1209"/>
      <w:r/>
      <w:bookmarkEnd w:id="1210"/>
      <w:r/>
      <w:bookmarkEnd w:id="1211"/>
      <w:r/>
      <w:bookmarkEnd w:id="1212"/>
      <w:r/>
      <w:bookmarkEnd w:id="1213"/>
      <w:r/>
      <w:bookmarkEnd w:id="1214"/>
      <w:r/>
      <w:bookmarkEnd w:id="1215"/>
      <w:r/>
      <w:bookmarkEnd w:id="1216"/>
      <w:r/>
      <w:bookmarkEnd w:id="1217"/>
      <w:r/>
      <w:bookmarkEnd w:id="1218"/>
      <w:r/>
      <w:bookmarkEnd w:id="1219"/>
      <w:r/>
      <w:bookmarkEnd w:id="1220"/>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市场价格波动是否调整合同价格的约定：</w:t>
      </w:r>
      <w:r>
        <w:rPr>
          <w:rFonts w:hint="eastAsia" w:ascii="宋体" w:hAnsi="宋体" w:eastAsia="宋体" w:cs="宋体"/>
          <w:sz w:val="21"/>
          <w:szCs w:val="21"/>
          <w:highlight w:val="none"/>
          <w:u w:val="single"/>
        </w:rPr>
        <w:t xml:space="preserve">是 </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因市场价格波动调整合同价格，采用以下第</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种方式对合同价格进行调整：</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第1种方式：采用价格指数进行价格调整。</w:t>
      </w:r>
      <w:r/>
    </w:p>
    <w:p>
      <w:pPr>
        <w:pStyle w:val="1342"/>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关于各可调因子、定值和变值权重，以及基本价格指数及其来源的约定：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  </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第2种方式：采用造价信息进行价格调整。</w:t>
      </w:r>
      <w:r/>
    </w:p>
    <w:p>
      <w:pPr>
        <w:pStyle w:val="1342"/>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（2）关于基准价格的约定：</w:t>
      </w:r>
      <w:r>
        <w:rPr>
          <w:rFonts w:hint="eastAsia" w:ascii="宋体" w:hAnsi="宋体" w:eastAsia="宋体" w:cs="宋体"/>
          <w:sz w:val="21"/>
          <w:szCs w:val="21"/>
          <w:highlight w:val="none"/>
          <w:u w:val="single"/>
        </w:rPr>
        <w:t xml:space="preserve">以投标截止日前 28 天为基准日的指导价为基准价，无指导价的以市场价为基准价。执行省规定苏建价［2008］67号</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①承包人在已标价工程量清单或预算书中载明的材料单价低于基准价格的：专用合同条款合同履行期间材料单价涨幅以基准价格为基础超过</w:t>
      </w:r>
      <w:r>
        <w:rPr>
          <w:rFonts w:hint="eastAsia" w:ascii="宋体" w:hAnsi="宋体" w:eastAsia="宋体" w:cs="宋体"/>
          <w:sz w:val="21"/>
          <w:szCs w:val="21"/>
          <w:highlight w:val="none"/>
          <w:u w:val="single"/>
        </w:rPr>
        <w:t xml:space="preserve">10</w:t>
      </w:r>
      <w:r>
        <w:rPr>
          <w:rFonts w:hint="eastAsia" w:ascii="宋体" w:hAnsi="宋体" w:eastAsia="宋体" w:cs="宋体"/>
          <w:sz w:val="21"/>
          <w:szCs w:val="21"/>
          <w:highlight w:val="none"/>
        </w:rPr>
        <w:t xml:space="preserve">%时，或材料单价跌幅以已标价工程量清单或预算书中载明材料单价为基础超过</w:t>
      </w:r>
      <w:r>
        <w:rPr>
          <w:rFonts w:hint="eastAsia" w:ascii="宋体" w:hAnsi="宋体" w:eastAsia="宋体" w:cs="宋体"/>
          <w:sz w:val="21"/>
          <w:szCs w:val="21"/>
          <w:highlight w:val="none"/>
          <w:u w:val="single"/>
        </w:rPr>
        <w:t xml:space="preserve">10 </w:t>
      </w:r>
      <w:r>
        <w:rPr>
          <w:rFonts w:hint="eastAsia" w:ascii="宋体" w:hAnsi="宋体" w:eastAsia="宋体" w:cs="宋体"/>
          <w:sz w:val="21"/>
          <w:szCs w:val="21"/>
          <w:highlight w:val="none"/>
        </w:rPr>
        <w:t xml:space="preserve">%时，其超过部分据实调整。</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1"/>
          <w:szCs w:val="21"/>
          <w:highlight w:val="none"/>
          <w:u w:val="single"/>
        </w:rPr>
        <w:t xml:space="preserve">10</w:t>
      </w:r>
      <w:r>
        <w:rPr>
          <w:rFonts w:hint="eastAsia" w:ascii="宋体" w:hAnsi="宋体" w:eastAsia="宋体" w:cs="宋体"/>
          <w:sz w:val="21"/>
          <w:szCs w:val="21"/>
          <w:highlight w:val="none"/>
        </w:rPr>
        <w:t xml:space="preserve">%时，材料单价涨幅以已标价工程量清单或预算书中载明材料单价为基础超过</w:t>
      </w:r>
      <w:r>
        <w:rPr>
          <w:rFonts w:hint="eastAsia" w:ascii="宋体" w:hAnsi="宋体" w:eastAsia="宋体" w:cs="宋体"/>
          <w:sz w:val="21"/>
          <w:szCs w:val="21"/>
          <w:highlight w:val="none"/>
          <w:u w:val="single"/>
        </w:rPr>
        <w:t xml:space="preserve">10</w:t>
      </w:r>
      <w:r>
        <w:rPr>
          <w:rFonts w:hint="eastAsia" w:ascii="宋体" w:hAnsi="宋体" w:eastAsia="宋体" w:cs="宋体"/>
          <w:sz w:val="21"/>
          <w:szCs w:val="21"/>
          <w:highlight w:val="none"/>
        </w:rPr>
        <w:t xml:space="preserve">%时，其超过部分据实调整。</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1"/>
          <w:szCs w:val="21"/>
          <w:highlight w:val="none"/>
          <w:u w:val="single"/>
        </w:rPr>
        <w:t xml:space="preserve">10</w:t>
      </w:r>
      <w:r>
        <w:rPr>
          <w:rFonts w:hint="eastAsia" w:ascii="宋体" w:hAnsi="宋体" w:eastAsia="宋体" w:cs="宋体"/>
          <w:sz w:val="21"/>
          <w:szCs w:val="21"/>
          <w:highlight w:val="none"/>
        </w:rPr>
        <w:t xml:space="preserve">%时，其超过部分据实调整。</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第3种方式：其他价格调整方式：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1"/>
        <w:spacing w:before="0" w:after="0" w:line="440" w:lineRule="exact"/>
        <w:rPr>
          <w:rFonts w:hint="eastAsia" w:ascii="宋体" w:hAnsi="宋体" w:eastAsia="宋体" w:cs="宋体"/>
          <w:sz w:val="21"/>
          <w:szCs w:val="21"/>
          <w:highlight w:val="none"/>
        </w:rPr>
      </w:pPr>
      <w:r/>
      <w:bookmarkStart w:id="1237" w:name="_Toc292559915"/>
      <w:r/>
      <w:bookmarkStart w:id="1238" w:name="_Toc292559410"/>
      <w:r/>
      <w:bookmarkStart w:id="1239" w:name="_Toc296944544"/>
      <w:r/>
      <w:bookmarkStart w:id="1240" w:name="_Toc296891245"/>
      <w:r/>
      <w:bookmarkStart w:id="1241" w:name="_Toc296891033"/>
      <w:r/>
      <w:bookmarkStart w:id="1242" w:name="_Toc296346706"/>
      <w:r/>
      <w:bookmarkStart w:id="1243" w:name="_Toc296347204"/>
      <w:r/>
      <w:bookmarkStart w:id="1244" w:name="_Toc297048391"/>
      <w:r/>
      <w:bookmarkStart w:id="1245" w:name="_Toc297120505"/>
      <w:r/>
      <w:bookmarkStart w:id="1246" w:name="_Toc296503205"/>
      <w:r/>
      <w:bookmarkStart w:id="1247" w:name="_Toc351203644"/>
      <w:r/>
      <w:bookmarkStart w:id="1248" w:name="_Toc297216211"/>
      <w:r/>
      <w:bookmarkStart w:id="1249" w:name="_Toc303539159"/>
      <w:r/>
      <w:bookmarkStart w:id="1250" w:name="_Toc300935002"/>
      <w:r/>
      <w:bookmarkStart w:id="1251" w:name="_Toc304295579"/>
      <w:r/>
      <w:bookmarkStart w:id="1252" w:name="_Toc312678040"/>
      <w:r/>
      <w:bookmarkStart w:id="1253" w:name="_Toc297123552"/>
      <w:r>
        <w:rPr>
          <w:rFonts w:hint="eastAsia" w:ascii="宋体" w:hAnsi="宋体" w:eastAsia="宋体" w:cs="宋体"/>
          <w:sz w:val="21"/>
          <w:szCs w:val="21"/>
          <w:highlight w:val="none"/>
        </w:rPr>
        <w:t xml:space="preserve">12. </w:t>
      </w:r>
      <w:bookmarkEnd w:id="1237"/>
      <w:r/>
      <w:bookmarkEnd w:id="1238"/>
      <w:r/>
      <w:bookmarkEnd w:id="1239"/>
      <w:r/>
      <w:bookmarkEnd w:id="1240"/>
      <w:r/>
      <w:bookmarkEnd w:id="1241"/>
      <w:r/>
      <w:bookmarkEnd w:id="1242"/>
      <w:r/>
      <w:bookmarkEnd w:id="1243"/>
      <w:r/>
      <w:bookmarkEnd w:id="1244"/>
      <w:r/>
      <w:bookmarkEnd w:id="1245"/>
      <w:r/>
      <w:bookmarkEnd w:id="1246"/>
      <w:r>
        <w:rPr>
          <w:rFonts w:hint="eastAsia" w:ascii="宋体" w:hAnsi="宋体" w:eastAsia="宋体" w:cs="宋体"/>
          <w:sz w:val="21"/>
          <w:szCs w:val="21"/>
          <w:highlight w:val="none"/>
        </w:rPr>
        <w:t xml:space="preserve">合同价格、计量与支付</w:t>
      </w:r>
      <w:bookmarkEnd w:id="1247"/>
      <w:r/>
      <w:bookmarkEnd w:id="1248"/>
      <w:r/>
      <w:bookmarkEnd w:id="1249"/>
      <w:r/>
      <w:bookmarkEnd w:id="1250"/>
      <w:r/>
      <w:bookmarkEnd w:id="1251"/>
      <w:r/>
      <w:bookmarkEnd w:id="1252"/>
      <w:r/>
      <w:bookmarkEnd w:id="1253"/>
      <w:r/>
      <w:r/>
    </w:p>
    <w:p>
      <w:pPr>
        <w:pStyle w:val="1342"/>
        <w:ind w:firstLine="422"/>
        <w:spacing w:line="440" w:lineRule="exact"/>
        <w:rPr>
          <w:rFonts w:hint="eastAsia" w:ascii="宋体" w:hAnsi="宋体" w:eastAsia="宋体" w:cs="宋体"/>
          <w:b/>
          <w:sz w:val="21"/>
          <w:szCs w:val="21"/>
          <w:highlight w:val="none"/>
        </w:rPr>
      </w:pPr>
      <w:r/>
      <w:bookmarkStart w:id="1254" w:name="_Toc292559916"/>
      <w:r/>
      <w:bookmarkStart w:id="1255" w:name="_Toc267251461"/>
      <w:r/>
      <w:bookmarkStart w:id="1256" w:name="_Toc292559411"/>
      <w:r/>
      <w:bookmarkStart w:id="1257" w:name="_Toc296347205"/>
      <w:r/>
      <w:bookmarkStart w:id="1258" w:name="_Toc296891034"/>
      <w:r/>
      <w:bookmarkStart w:id="1259" w:name="_Toc296891246"/>
      <w:r/>
      <w:bookmarkStart w:id="1260" w:name="_Toc296346707"/>
      <w:r/>
      <w:bookmarkStart w:id="1261" w:name="_Toc296503206"/>
      <w:r/>
      <w:bookmarkStart w:id="1262" w:name="_Toc296944545"/>
      <w:r/>
      <w:bookmarkStart w:id="1263" w:name="_Toc297048392"/>
      <w:r/>
      <w:bookmarkStart w:id="1264" w:name="_Toc297120506"/>
      <w:r/>
      <w:bookmarkStart w:id="1265" w:name="_Toc303539160"/>
      <w:r/>
      <w:bookmarkStart w:id="1266" w:name="_Toc300935003"/>
      <w:r/>
      <w:bookmarkStart w:id="1267" w:name="_Toc297123553"/>
      <w:r/>
      <w:bookmarkStart w:id="1268" w:name="_Toc297216212"/>
      <w:r/>
      <w:bookmarkStart w:id="1269" w:name="_Toc304295580"/>
      <w:r/>
      <w:bookmarkStart w:id="1270" w:name="_Toc312678041"/>
      <w:r>
        <w:rPr>
          <w:rFonts w:hint="eastAsia" w:ascii="宋体" w:hAnsi="宋体" w:eastAsia="宋体" w:cs="宋体"/>
          <w:b/>
          <w:sz w:val="21"/>
          <w:szCs w:val="21"/>
          <w:highlight w:val="none"/>
        </w:rPr>
        <w:t xml:space="preserve">12.1 合</w:t>
      </w:r>
      <w:bookmarkEnd w:id="1254"/>
      <w:r/>
      <w:bookmarkEnd w:id="1255"/>
      <w:r/>
      <w:bookmarkEnd w:id="1256"/>
      <w:r>
        <w:rPr>
          <w:rFonts w:hint="eastAsia" w:ascii="宋体" w:hAnsi="宋体" w:eastAsia="宋体" w:cs="宋体"/>
          <w:b/>
          <w:sz w:val="21"/>
          <w:szCs w:val="21"/>
          <w:highlight w:val="none"/>
        </w:rPr>
        <w:t xml:space="preserve">同价</w:t>
      </w:r>
      <w:bookmarkEnd w:id="1257"/>
      <w:r/>
      <w:bookmarkEnd w:id="1258"/>
      <w:r/>
      <w:bookmarkEnd w:id="1259"/>
      <w:r/>
      <w:bookmarkEnd w:id="1260"/>
      <w:r/>
      <w:bookmarkEnd w:id="1261"/>
      <w:r/>
      <w:bookmarkEnd w:id="1262"/>
      <w:r/>
      <w:bookmarkEnd w:id="1263"/>
      <w:r/>
      <w:bookmarkEnd w:id="1264"/>
      <w:r>
        <w:rPr>
          <w:rFonts w:hint="eastAsia" w:ascii="宋体" w:hAnsi="宋体" w:eastAsia="宋体" w:cs="宋体"/>
          <w:b/>
          <w:sz w:val="21"/>
          <w:szCs w:val="21"/>
          <w:highlight w:val="none"/>
        </w:rPr>
        <w:t xml:space="preserve">格形式</w:t>
      </w:r>
      <w:bookmarkEnd w:id="1265"/>
      <w:r/>
      <w:bookmarkEnd w:id="1266"/>
      <w:r/>
      <w:bookmarkEnd w:id="1267"/>
      <w:r/>
      <w:bookmarkEnd w:id="1268"/>
      <w:r/>
      <w:bookmarkEnd w:id="1269"/>
      <w:r/>
      <w:bookmarkEnd w:id="1270"/>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1、单价合同。</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综合单价包含的风险范围：</w:t>
      </w:r>
      <w:r>
        <w:rPr>
          <w:rFonts w:hint="eastAsia" w:ascii="宋体" w:hAnsi="宋体" w:eastAsia="宋体" w:cs="宋体"/>
          <w:sz w:val="21"/>
          <w:szCs w:val="21"/>
          <w:highlight w:val="none"/>
          <w:u w:val="single"/>
        </w:rPr>
        <w:t xml:space="preserve">市场价格波动、因法律变化引起的调整不包含在风险范围内</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风险费用的计算方法：</w:t>
      </w:r>
      <w:r>
        <w:rPr>
          <w:rFonts w:hint="eastAsia" w:ascii="宋体" w:hAnsi="宋体" w:eastAsia="宋体" w:cs="宋体"/>
          <w:sz w:val="21"/>
          <w:szCs w:val="21"/>
          <w:highlight w:val="none"/>
          <w:u w:val="single"/>
        </w:rPr>
        <w:t xml:space="preserve">市场价格波动执行通用条款第11.1款，因法律变化收起的调整执行通用条款第11.2款</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风险范围以外合同价格的调整方法：</w:t>
      </w:r>
      <w:r>
        <w:rPr>
          <w:rFonts w:hint="eastAsia" w:ascii="宋体" w:hAnsi="宋体" w:eastAsia="宋体" w:cs="宋体"/>
          <w:sz w:val="21"/>
          <w:szCs w:val="21"/>
          <w:highlight w:val="none"/>
          <w:u w:val="single"/>
        </w:rPr>
        <w:t xml:space="preserve">人工单价发生变化按照省造价管理总站发布的人工费等文件调整合同价格，并扣除原让利部分。但承包人对人工费或人工单价的报价高于发布价格的除外</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总价包含的风险范围：</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风险费用的计算方法：</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风险范围以外合同价格的调整方法：</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3、其他价格方式：</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12.2 预付款</w:t>
      </w:r>
      <w:bookmarkEnd w:id="1221"/>
      <w:r/>
      <w:bookmarkEnd w:id="1222"/>
      <w:r/>
      <w:bookmarkEnd w:id="1223"/>
      <w:r/>
      <w:bookmarkEnd w:id="1224"/>
      <w:r/>
      <w:bookmarkEnd w:id="1225"/>
      <w:r/>
      <w:bookmarkEnd w:id="1226"/>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12.2.1 预付款的支付</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预付款支付比例或金额：</w:t>
      </w:r>
      <w:r>
        <w:rPr>
          <w:rFonts w:hint="eastAsia" w:ascii="宋体" w:hAnsi="宋体" w:eastAsia="宋体" w:cs="宋体"/>
          <w:sz w:val="21"/>
          <w:szCs w:val="21"/>
          <w:highlight w:val="none"/>
          <w:u w:val="single"/>
        </w:rPr>
        <w:t xml:space="preserve">根据付款方式  </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预付款支付期限：</w:t>
      </w:r>
      <w:r>
        <w:rPr>
          <w:rFonts w:hint="eastAsia" w:ascii="宋体" w:hAnsi="宋体" w:eastAsia="宋体" w:cs="宋体"/>
          <w:sz w:val="21"/>
          <w:szCs w:val="21"/>
          <w:highlight w:val="none"/>
          <w:u w:val="single"/>
        </w:rPr>
        <w:t xml:space="preserve">根据付款方式  </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预付款扣回的方式：</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12.2.2 预付款担保</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承包人提交预付款担保的期限：</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预付款担保的形式为：</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rPr>
        <w:t xml:space="preserve">。</w:t>
      </w:r>
      <w:bookmarkEnd w:id="1227"/>
      <w:r/>
      <w:bookmarkEnd w:id="1228"/>
      <w:r/>
      <w:bookmarkEnd w:id="1229"/>
      <w:r/>
      <w:bookmarkEnd w:id="1230"/>
      <w:r/>
      <w:bookmarkEnd w:id="1231"/>
      <w:r/>
      <w:bookmarkEnd w:id="1232"/>
      <w:r/>
      <w:bookmarkEnd w:id="1233"/>
      <w:r/>
      <w:bookmarkEnd w:id="1234"/>
      <w:r/>
      <w:bookmarkEnd w:id="1235"/>
      <w:r/>
      <w:bookmarkEnd w:id="1236"/>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12.3 计量</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12.3.1 计量原则</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工程量计算规则：</w:t>
      </w:r>
      <w:r>
        <w:rPr>
          <w:rFonts w:hint="eastAsia" w:ascii="宋体" w:hAnsi="宋体" w:eastAsia="宋体" w:cs="宋体"/>
          <w:sz w:val="21"/>
          <w:szCs w:val="21"/>
          <w:highlight w:val="none"/>
          <w:u w:val="single"/>
        </w:rPr>
        <w:t xml:space="preserve">工程量清单中的工程量计算规则按《建设工程工程量清单计价规范》(GB50500—2013)规定执行</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12.3.2 计量周期</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关于计量周期的约定：</w:t>
      </w:r>
      <w:r>
        <w:rPr>
          <w:rFonts w:hint="eastAsia" w:ascii="宋体" w:hAnsi="宋体" w:eastAsia="宋体" w:cs="宋体"/>
          <w:sz w:val="21"/>
          <w:szCs w:val="21"/>
          <w:highlight w:val="none"/>
          <w:u w:val="single"/>
        </w:rPr>
        <w:t xml:space="preserve">每月计量</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12.3.3 单价合同的计量</w:t>
      </w:r>
      <w:r/>
    </w:p>
    <w:p>
      <w:pPr>
        <w:pStyle w:val="1342"/>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关于单价合同计量的约定：</w:t>
      </w:r>
      <w:r>
        <w:rPr>
          <w:rFonts w:hint="eastAsia" w:ascii="宋体" w:hAnsi="宋体" w:eastAsia="宋体" w:cs="宋体"/>
          <w:sz w:val="21"/>
          <w:szCs w:val="21"/>
          <w:highlight w:val="none"/>
          <w:u w:val="single"/>
        </w:rPr>
        <w:t xml:space="preserve">严格执行《现场工程计量管理规定》的规定，如有违反不作为工程结算</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12.3.4 总价合同的计量</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关于总价合同计量的约定：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12.3.5总价合同采用支付分解表计量支付的，是否适用第12.3.4 项〔总价合同的计量〕约定进行计量：</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12.3.6 其他价格形式合同的计量</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其他价格形式的计量方式和程序：</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12.4 工程进度款支付</w:t>
      </w:r>
      <w:r/>
    </w:p>
    <w:p>
      <w:pPr>
        <w:pStyle w:val="1342"/>
        <w:ind w:firstLine="420"/>
        <w:jc w:val="left"/>
        <w:spacing w:line="440" w:lineRule="exact"/>
        <w:rPr>
          <w:rFonts w:hint="eastAsia" w:ascii="宋体" w:hAnsi="宋体" w:eastAsia="宋体" w:cs="宋体"/>
          <w:sz w:val="21"/>
          <w:szCs w:val="21"/>
          <w:highlight w:val="none"/>
        </w:rPr>
      </w:pPr>
      <w:r/>
      <w:bookmarkStart w:id="1271" w:name="_Toc297048397"/>
      <w:r/>
      <w:bookmarkStart w:id="1272" w:name="_Toc292559416"/>
      <w:r/>
      <w:bookmarkStart w:id="1273" w:name="_Toc296891039"/>
      <w:r/>
      <w:bookmarkStart w:id="1274" w:name="_Toc296346712"/>
      <w:r/>
      <w:bookmarkStart w:id="1275" w:name="_Toc296503211"/>
      <w:r/>
      <w:bookmarkStart w:id="1276" w:name="_Toc292559921"/>
      <w:r/>
      <w:bookmarkStart w:id="1277" w:name="_Toc296944550"/>
      <w:r/>
      <w:bookmarkStart w:id="1278" w:name="_Toc297216215"/>
      <w:r/>
      <w:bookmarkStart w:id="1279" w:name="_Toc297120511"/>
      <w:r/>
      <w:bookmarkStart w:id="1280" w:name="_Toc297123556"/>
      <w:r/>
      <w:bookmarkStart w:id="1281" w:name="_Toc303539163"/>
      <w:r/>
      <w:bookmarkStart w:id="1282" w:name="_Toc296347210"/>
      <w:r/>
      <w:bookmarkStart w:id="1283" w:name="_Toc300935006"/>
      <w:r/>
      <w:bookmarkStart w:id="1284" w:name="_Toc296891251"/>
      <w:r>
        <w:rPr>
          <w:rFonts w:hint="eastAsia" w:ascii="宋体" w:hAnsi="宋体" w:eastAsia="宋体" w:cs="宋体"/>
          <w:sz w:val="21"/>
          <w:szCs w:val="21"/>
          <w:highlight w:val="none"/>
        </w:rPr>
        <w:t xml:space="preserve">12.4.1 付款周期</w:t>
      </w:r>
      <w:r/>
    </w:p>
    <w:p>
      <w:pPr>
        <w:ind w:firstLine="420"/>
        <w:spacing w:line="400" w:lineRule="exact"/>
        <w:rPr>
          <w:rFonts w:hint="eastAsia" w:ascii="宋体" w:hAnsi="宋体" w:eastAsia="宋体" w:cs="宋体"/>
          <w:color w:val="ff0000"/>
          <w:szCs w:val="21"/>
          <w:highlight w:val="none"/>
          <w:u w:val="single"/>
        </w:rPr>
      </w:pPr>
      <w:r>
        <w:rPr>
          <w:rFonts w:hint="eastAsia" w:ascii="宋体" w:hAnsi="宋体" w:eastAsia="宋体" w:cs="宋体"/>
          <w:color w:val="auto"/>
          <w:szCs w:val="21"/>
          <w:highlight w:val="none"/>
        </w:rPr>
        <w:t xml:space="preserve">关于付款周期的约定：</w:t>
      </w:r>
      <w:r>
        <w:rPr>
          <w:rFonts w:hint="eastAsia" w:ascii="宋体" w:hAnsi="宋体" w:cs="宋体"/>
          <w:color w:val="ff0000"/>
          <w:szCs w:val="21"/>
          <w:highlight w:val="none"/>
          <w:u w:val="single"/>
          <w:lang w:eastAsia="zh-CN"/>
        </w:rPr>
        <w:t xml:space="preserve">工程竣工验收合格并经审计后年底付至审计价的80%，余款第二年年底按审计价一次性付清</w:t>
      </w:r>
      <w:r>
        <w:rPr>
          <w:rFonts w:hint="eastAsia" w:ascii="宋体" w:hAnsi="宋体" w:eastAsia="宋体" w:cs="宋体"/>
          <w:color w:val="ff0000"/>
          <w:szCs w:val="21"/>
          <w:highlight w:val="none"/>
          <w:u w:val="single"/>
        </w:rPr>
        <w:t xml:space="preserve">。</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12.4.2 进度付款申请单的编制</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关于进度付款申请单编制的约定：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bookmarkEnd w:id="1271"/>
      <w:r/>
      <w:bookmarkEnd w:id="1272"/>
      <w:r/>
      <w:bookmarkEnd w:id="1273"/>
      <w:r/>
      <w:bookmarkEnd w:id="1274"/>
      <w:r/>
      <w:bookmarkEnd w:id="1275"/>
      <w:r/>
      <w:bookmarkEnd w:id="1276"/>
      <w:r/>
      <w:bookmarkEnd w:id="1277"/>
      <w:r/>
      <w:bookmarkEnd w:id="1278"/>
      <w:r/>
      <w:bookmarkEnd w:id="1279"/>
      <w:r/>
      <w:bookmarkEnd w:id="1280"/>
      <w:r/>
      <w:bookmarkEnd w:id="1281"/>
      <w:r/>
      <w:bookmarkEnd w:id="1282"/>
      <w:r/>
      <w:bookmarkEnd w:id="1283"/>
      <w:r/>
      <w:bookmarkEnd w:id="1284"/>
      <w:r>
        <w:rPr>
          <w:rFonts w:hint="eastAsia" w:ascii="宋体" w:hAnsi="宋体" w:eastAsia="宋体" w:cs="宋体"/>
          <w:sz w:val="21"/>
          <w:szCs w:val="21"/>
          <w:highlight w:val="none"/>
        </w:rPr>
        <w:t xml:space="preserve">2.4.3 进度付款申请单的提交</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（1）单价合同进度付款申请单提交的约定：</w:t>
      </w:r>
      <w:r>
        <w:rPr>
          <w:rFonts w:hint="eastAsia" w:ascii="宋体" w:hAnsi="宋体" w:eastAsia="宋体" w:cs="宋体"/>
          <w:sz w:val="21"/>
          <w:szCs w:val="21"/>
          <w:highlight w:val="none"/>
          <w:u w:val="single"/>
        </w:rPr>
        <w:t xml:space="preserve">执行通用条款 </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（2）总价合同进度付款申请单提交的约定：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（3）其他价格形式合同进度付款申请单提交的约定：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12.4.4 进度款审核和支付</w:t>
      </w:r>
      <w:r/>
    </w:p>
    <w:p>
      <w:pPr>
        <w:pStyle w:val="1342"/>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（1）监理人审查并报送发包人的期限：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发包人完成审批并签发进度款支付证书的期限：</w:t>
      </w:r>
      <w:r>
        <w:rPr>
          <w:rFonts w:hint="eastAsia" w:ascii="宋体" w:hAnsi="宋体" w:eastAsia="宋体" w:cs="宋体"/>
          <w:sz w:val="21"/>
          <w:szCs w:val="21"/>
          <w:highlight w:val="none"/>
          <w:u w:val="single"/>
        </w:rPr>
        <w:t xml:space="preserve">通用条款第12.4.4条第（1）款不执行，发包人在7天内完成审批并签发进度款支付证书。</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（2）发包人支付进度款的期限：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525"/>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发包人逾期支付进度款的违约金的计算方式：</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525"/>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12.4.6 支付分解表的编制</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总价合同支付分解表的编制与审批：</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32"/>
          <w:highlight w:val="none"/>
        </w:rPr>
      </w:pPr>
      <w:r>
        <w:rPr>
          <w:rFonts w:hint="eastAsia" w:ascii="宋体" w:hAnsi="宋体" w:eastAsia="宋体" w:cs="宋体"/>
          <w:sz w:val="21"/>
          <w:szCs w:val="21"/>
          <w:highlight w:val="none"/>
        </w:rPr>
        <w:t xml:space="preserve">单价</w:t>
      </w:r>
      <w:r>
        <w:rPr>
          <w:rFonts w:hint="eastAsia" w:ascii="宋体" w:hAnsi="宋体" w:eastAsia="宋体" w:cs="宋体"/>
          <w:sz w:val="21"/>
          <w:szCs w:val="32"/>
          <w:highlight w:val="none"/>
        </w:rPr>
        <w:t xml:space="preserve">合同的总价项目支付分解表的编制与审批：</w:t>
      </w:r>
      <w:r>
        <w:rPr>
          <w:rFonts w:hint="eastAsia" w:ascii="宋体" w:hAnsi="宋体" w:eastAsia="宋体" w:cs="宋体"/>
          <w:sz w:val="21"/>
          <w:szCs w:val="32"/>
          <w:highlight w:val="none"/>
          <w:u w:val="single"/>
        </w:rPr>
        <w:t xml:space="preserve"> /</w:t>
      </w:r>
      <w:r>
        <w:rPr>
          <w:rFonts w:hint="eastAsia" w:ascii="宋体" w:hAnsi="宋体" w:eastAsia="宋体" w:cs="宋体"/>
          <w:sz w:val="21"/>
          <w:szCs w:val="32"/>
          <w:highlight w:val="none"/>
        </w:rPr>
        <w:t xml:space="preserve">。</w:t>
      </w:r>
      <w:r/>
    </w:p>
    <w:p>
      <w:pPr>
        <w:pStyle w:val="1342"/>
        <w:ind w:firstLine="420"/>
        <w:jc w:val="left"/>
        <w:spacing w:line="440" w:lineRule="exact"/>
        <w:rPr>
          <w:rFonts w:hint="eastAsia" w:ascii="宋体" w:hAnsi="宋体" w:eastAsia="宋体" w:cs="宋体"/>
          <w:sz w:val="21"/>
          <w:szCs w:val="32"/>
          <w:highlight w:val="none"/>
        </w:rPr>
      </w:pPr>
      <w:r>
        <w:rPr>
          <w:rFonts w:hint="eastAsia" w:ascii="宋体" w:hAnsi="宋体" w:eastAsia="宋体" w:cs="宋体"/>
          <w:sz w:val="21"/>
          <w:szCs w:val="32"/>
          <w:highlight w:val="none"/>
        </w:rPr>
        <w:t xml:space="preserve">12.5支付账户</w:t>
      </w:r>
      <w:r/>
    </w:p>
    <w:p>
      <w:pPr>
        <w:ind w:firstLine="420"/>
        <w:jc w:val="left"/>
        <w:spacing w:line="440" w:lineRule="exact"/>
        <w:rPr>
          <w:rFonts w:hint="eastAsia" w:ascii="宋体" w:hAnsi="宋体" w:eastAsia="宋体" w:cs="宋体"/>
          <w:szCs w:val="32"/>
          <w:highlight w:val="none"/>
        </w:rPr>
      </w:pPr>
      <w:r>
        <w:rPr>
          <w:rFonts w:hint="eastAsia" w:ascii="宋体" w:hAnsi="宋体" w:eastAsia="宋体" w:cs="宋体"/>
          <w:szCs w:val="32"/>
          <w:highlight w:val="none"/>
        </w:rPr>
        <w:t xml:space="preserve">（1）账户信息</w:t>
      </w:r>
      <w:r/>
    </w:p>
    <w:p>
      <w:pPr>
        <w:ind w:firstLine="420"/>
        <w:jc w:val="left"/>
        <w:spacing w:line="440" w:lineRule="exact"/>
        <w:rPr>
          <w:rFonts w:hint="eastAsia" w:ascii="宋体" w:hAnsi="宋体" w:eastAsia="宋体" w:cs="宋体"/>
          <w:szCs w:val="32"/>
          <w:highlight w:val="none"/>
        </w:rPr>
      </w:pPr>
      <w:r>
        <w:rPr>
          <w:rFonts w:hint="eastAsia" w:ascii="宋体" w:hAnsi="宋体" w:eastAsia="宋体" w:cs="宋体"/>
          <w:szCs w:val="32"/>
          <w:highlight w:val="none"/>
        </w:rPr>
        <w:t xml:space="preserve">发包人应将合同价款依照合同约定，支付至合同协议书中约定的承包人账户，账户信息以合同协议书中承包人的开户银行和账号为准。</w:t>
      </w:r>
      <w:r/>
    </w:p>
    <w:p>
      <w:pPr>
        <w:ind w:firstLine="420"/>
        <w:jc w:val="left"/>
        <w:spacing w:line="440" w:lineRule="exact"/>
        <w:rPr>
          <w:rFonts w:hint="eastAsia" w:ascii="宋体" w:hAnsi="宋体" w:eastAsia="宋体" w:cs="宋体"/>
          <w:szCs w:val="32"/>
          <w:highlight w:val="none"/>
        </w:rPr>
      </w:pPr>
      <w:r>
        <w:rPr>
          <w:rFonts w:hint="eastAsia" w:ascii="宋体" w:hAnsi="宋体" w:eastAsia="宋体" w:cs="宋体"/>
          <w:szCs w:val="32"/>
          <w:highlight w:val="none"/>
        </w:rPr>
        <w:t xml:space="preserve">（2）账户变更</w:t>
      </w:r>
      <w:r/>
    </w:p>
    <w:p>
      <w:pPr>
        <w:ind w:firstLine="420"/>
        <w:jc w:val="left"/>
        <w:spacing w:line="440" w:lineRule="exact"/>
        <w:rPr>
          <w:rFonts w:hint="eastAsia" w:ascii="宋体" w:hAnsi="宋体" w:eastAsia="宋体" w:cs="宋体"/>
          <w:szCs w:val="32"/>
          <w:highlight w:val="none"/>
        </w:rPr>
      </w:pPr>
      <w:r>
        <w:rPr>
          <w:rFonts w:hint="eastAsia" w:ascii="宋体" w:hAnsi="宋体" w:eastAsia="宋体" w:cs="宋体"/>
          <w:szCs w:val="32"/>
          <w:highlight w:val="none"/>
        </w:rPr>
        <w:t xml:space="preserve">合同双方是否能自行变更支付账号：¨是  ¨否</w:t>
      </w:r>
      <w:r/>
    </w:p>
    <w:p>
      <w:pPr>
        <w:ind w:firstLine="420"/>
        <w:jc w:val="left"/>
        <w:spacing w:line="440" w:lineRule="exact"/>
        <w:rPr>
          <w:rFonts w:hint="eastAsia" w:ascii="宋体" w:hAnsi="宋体" w:eastAsia="宋体" w:cs="宋体"/>
          <w:szCs w:val="32"/>
          <w:highlight w:val="none"/>
        </w:rPr>
      </w:pPr>
      <w:r>
        <w:rPr>
          <w:rFonts w:hint="eastAsia" w:ascii="宋体" w:hAnsi="宋体" w:eastAsia="宋体" w:cs="宋体"/>
          <w:szCs w:val="32"/>
          <w:highlight w:val="none"/>
        </w:rPr>
        <w:t xml:space="preserve">如勾选“否”，则变更支付账号，需经原账户开户银行书面同意。”</w:t>
      </w:r>
      <w:r/>
    </w:p>
    <w:p>
      <w:pPr>
        <w:pStyle w:val="1342"/>
        <w:ind w:firstLine="420"/>
        <w:jc w:val="left"/>
        <w:spacing w:line="440" w:lineRule="exact"/>
        <w:rPr>
          <w:rFonts w:hint="eastAsia" w:ascii="宋体" w:hAnsi="宋体" w:eastAsia="宋体" w:cs="宋体"/>
          <w:sz w:val="21"/>
          <w:szCs w:val="32"/>
          <w:highlight w:val="none"/>
        </w:rPr>
      </w:pPr>
      <w:r>
        <w:rPr>
          <w:rFonts w:hint="eastAsia" w:ascii="宋体" w:hAnsi="宋体" w:eastAsia="宋体" w:cs="宋体"/>
          <w:sz w:val="21"/>
          <w:szCs w:val="32"/>
          <w:highlight w:val="none"/>
        </w:rPr>
        <w:t xml:space="preserve">注：承包人账户信息（开户行、账号），在主合同“合同协议书”中有明确表述。</w:t>
      </w:r>
      <w:bookmarkEnd w:id="1092"/>
      <w:r/>
      <w:r/>
    </w:p>
    <w:p>
      <w:pPr>
        <w:pStyle w:val="1341"/>
        <w:spacing w:before="0" w:after="0" w:line="440" w:lineRule="exact"/>
        <w:rPr>
          <w:rFonts w:hint="eastAsia" w:ascii="宋体" w:hAnsi="宋体" w:eastAsia="宋体" w:cs="宋体"/>
          <w:sz w:val="21"/>
          <w:szCs w:val="21"/>
          <w:highlight w:val="none"/>
        </w:rPr>
      </w:pPr>
      <w:r/>
      <w:bookmarkStart w:id="1285" w:name="_Toc303539172"/>
      <w:r/>
      <w:bookmarkStart w:id="1286" w:name="_Toc296891259"/>
      <w:r/>
      <w:bookmarkStart w:id="1287" w:name="_Toc292559929"/>
      <w:r/>
      <w:bookmarkStart w:id="1288" w:name="_Toc297120519"/>
      <w:r/>
      <w:bookmarkStart w:id="1289" w:name="_Toc296347218"/>
      <w:r/>
      <w:bookmarkStart w:id="1290" w:name="_Toc292559424"/>
      <w:r/>
      <w:bookmarkStart w:id="1291" w:name="_Toc351203645"/>
      <w:r/>
      <w:bookmarkStart w:id="1292" w:name="_Toc296346720"/>
      <w:r/>
      <w:bookmarkStart w:id="1293" w:name="_Toc297048405"/>
      <w:r/>
      <w:bookmarkStart w:id="1294" w:name="_Toc297123564"/>
      <w:r/>
      <w:bookmarkStart w:id="1295" w:name="_Toc296944558"/>
      <w:r/>
      <w:bookmarkStart w:id="1296" w:name="_Toc312678053"/>
      <w:r/>
      <w:bookmarkStart w:id="1297" w:name="_Toc300935015"/>
      <w:r/>
      <w:bookmarkStart w:id="1298" w:name="_Toc296503219"/>
      <w:r/>
      <w:bookmarkStart w:id="1299" w:name="_Toc297216223"/>
      <w:r/>
      <w:bookmarkStart w:id="1300" w:name="_Toc304295593"/>
      <w:r/>
      <w:bookmarkStart w:id="1301" w:name="_Toc296891047"/>
      <w:r>
        <w:rPr>
          <w:rFonts w:hint="eastAsia" w:ascii="宋体" w:hAnsi="宋体" w:eastAsia="宋体" w:cs="宋体"/>
          <w:sz w:val="21"/>
          <w:szCs w:val="21"/>
          <w:highlight w:val="none"/>
        </w:rPr>
        <w:t xml:space="preserve">13.验收和工程试车</w:t>
      </w:r>
      <w:bookmarkEnd w:id="1285"/>
      <w:r/>
      <w:bookmarkEnd w:id="1286"/>
      <w:r/>
      <w:bookmarkEnd w:id="1287"/>
      <w:r/>
      <w:bookmarkEnd w:id="1288"/>
      <w:r/>
      <w:bookmarkEnd w:id="1289"/>
      <w:r/>
      <w:bookmarkEnd w:id="1290"/>
      <w:r/>
      <w:bookmarkEnd w:id="1291"/>
      <w:r/>
      <w:bookmarkEnd w:id="1292"/>
      <w:r/>
      <w:bookmarkEnd w:id="1293"/>
      <w:r/>
      <w:bookmarkEnd w:id="1294"/>
      <w:r/>
      <w:bookmarkEnd w:id="1295"/>
      <w:r/>
      <w:bookmarkEnd w:id="1296"/>
      <w:r/>
      <w:bookmarkEnd w:id="1297"/>
      <w:r/>
      <w:bookmarkEnd w:id="1298"/>
      <w:r/>
      <w:bookmarkEnd w:id="1299"/>
      <w:r/>
      <w:bookmarkEnd w:id="1300"/>
      <w:r/>
      <w:bookmarkEnd w:id="1301"/>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13.1 分部分项工程验收</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13.1.2监理人不能按时进行验收时，应提前</w:t>
      </w:r>
      <w:r>
        <w:rPr>
          <w:rFonts w:hint="eastAsia" w:ascii="宋体" w:hAnsi="宋体" w:eastAsia="宋体" w:cs="宋体"/>
          <w:sz w:val="21"/>
          <w:szCs w:val="21"/>
          <w:highlight w:val="none"/>
          <w:u w:val="single"/>
        </w:rPr>
        <w:t xml:space="preserve">24</w:t>
      </w:r>
      <w:r>
        <w:rPr>
          <w:rFonts w:hint="eastAsia" w:ascii="宋体" w:hAnsi="宋体" w:eastAsia="宋体" w:cs="宋体"/>
          <w:sz w:val="21"/>
          <w:szCs w:val="21"/>
          <w:highlight w:val="none"/>
        </w:rPr>
        <w:t xml:space="preserve">小时提交书面延期要求。</w:t>
      </w:r>
      <w:r/>
    </w:p>
    <w:p>
      <w:pPr>
        <w:pStyle w:val="1342"/>
        <w:ind w:firstLine="420"/>
        <w:jc w:val="left"/>
        <w:spacing w:line="44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关于延期最长不得超过：</w:t>
      </w:r>
      <w:r>
        <w:rPr>
          <w:rFonts w:hint="eastAsia" w:ascii="宋体" w:hAnsi="宋体" w:eastAsia="宋体" w:cs="宋体"/>
          <w:sz w:val="21"/>
          <w:szCs w:val="21"/>
          <w:highlight w:val="none"/>
          <w:u w:val="single"/>
        </w:rPr>
        <w:t xml:space="preserve">48</w:t>
      </w:r>
      <w:r>
        <w:rPr>
          <w:rFonts w:hint="eastAsia" w:ascii="宋体" w:hAnsi="宋体" w:eastAsia="宋体" w:cs="宋体"/>
          <w:sz w:val="21"/>
          <w:szCs w:val="21"/>
          <w:highlight w:val="none"/>
        </w:rPr>
        <w:t xml:space="preserve">小时。</w:t>
      </w:r>
      <w:r/>
    </w:p>
    <w:p>
      <w:pPr>
        <w:pStyle w:val="1342"/>
        <w:ind w:firstLine="422"/>
        <w:spacing w:line="440" w:lineRule="exact"/>
        <w:rPr>
          <w:rFonts w:hint="eastAsia" w:ascii="宋体" w:hAnsi="宋体" w:eastAsia="宋体" w:cs="宋体"/>
          <w:b/>
          <w:sz w:val="21"/>
          <w:szCs w:val="21"/>
          <w:highlight w:val="none"/>
        </w:rPr>
      </w:pPr>
      <w:r/>
      <w:bookmarkStart w:id="1302" w:name="_Toc297123565"/>
      <w:r/>
      <w:bookmarkStart w:id="1303" w:name="_Toc292559428"/>
      <w:r/>
      <w:bookmarkStart w:id="1304" w:name="_Toc296891051"/>
      <w:r/>
      <w:bookmarkStart w:id="1305" w:name="_Toc297048409"/>
      <w:r/>
      <w:bookmarkStart w:id="1306" w:name="_Toc296346724"/>
      <w:r/>
      <w:bookmarkStart w:id="1307" w:name="_Toc303539173"/>
      <w:r/>
      <w:bookmarkStart w:id="1308" w:name="_Toc297216224"/>
      <w:r/>
      <w:bookmarkStart w:id="1309" w:name="_Toc297120523"/>
      <w:r/>
      <w:bookmarkStart w:id="1310" w:name="_Toc296347222"/>
      <w:r/>
      <w:bookmarkStart w:id="1311" w:name="_Toc300935016"/>
      <w:r/>
      <w:bookmarkStart w:id="1312" w:name="_Toc304295596"/>
      <w:r/>
      <w:bookmarkStart w:id="1313" w:name="_Toc296891263"/>
      <w:r/>
      <w:bookmarkStart w:id="1314" w:name="_Toc312678056"/>
      <w:r/>
      <w:bookmarkStart w:id="1315" w:name="_Toc296503223"/>
      <w:r/>
      <w:bookmarkStart w:id="1316" w:name="_Toc292559933"/>
      <w:r/>
      <w:bookmarkStart w:id="1317" w:name="_Toc296944562"/>
      <w:r/>
      <w:bookmarkStart w:id="1318" w:name="_Toc267251473"/>
      <w:r/>
      <w:bookmarkStart w:id="1319" w:name="_Toc267251471"/>
      <w:r/>
      <w:bookmarkStart w:id="1320" w:name="_Toc267251476"/>
      <w:r/>
      <w:bookmarkStart w:id="1321" w:name="_Toc267251474"/>
      <w:r/>
      <w:bookmarkStart w:id="1322" w:name="_Toc267251472"/>
      <w:r/>
      <w:bookmarkStart w:id="1323" w:name="_Toc267251470"/>
      <w:r/>
      <w:bookmarkStart w:id="1324" w:name="_Toc267251475"/>
      <w:r>
        <w:rPr>
          <w:rFonts w:hint="eastAsia" w:ascii="宋体" w:hAnsi="宋体" w:eastAsia="宋体" w:cs="宋体"/>
          <w:b/>
          <w:sz w:val="21"/>
          <w:szCs w:val="21"/>
          <w:highlight w:val="none"/>
        </w:rPr>
        <w:t xml:space="preserve">13.2 竣工验收</w:t>
      </w:r>
      <w:bookmarkEnd w:id="1302"/>
      <w:r/>
      <w:bookmarkEnd w:id="1303"/>
      <w:r/>
      <w:bookmarkEnd w:id="1304"/>
      <w:r/>
      <w:bookmarkEnd w:id="1305"/>
      <w:r/>
      <w:bookmarkEnd w:id="1306"/>
      <w:r/>
      <w:bookmarkEnd w:id="1307"/>
      <w:r/>
      <w:bookmarkEnd w:id="1308"/>
      <w:r/>
      <w:bookmarkEnd w:id="1309"/>
      <w:r/>
      <w:bookmarkEnd w:id="1310"/>
      <w:r/>
      <w:bookmarkEnd w:id="1311"/>
      <w:r/>
      <w:bookmarkEnd w:id="1312"/>
      <w:r/>
      <w:bookmarkEnd w:id="1313"/>
      <w:r/>
      <w:bookmarkEnd w:id="1314"/>
      <w:r/>
      <w:bookmarkEnd w:id="1315"/>
      <w:r/>
      <w:bookmarkEnd w:id="1316"/>
      <w:r/>
      <w:bookmarkEnd w:id="1317"/>
      <w:r/>
      <w:r/>
    </w:p>
    <w:p>
      <w:pPr>
        <w:pStyle w:val="1342"/>
        <w:ind w:firstLine="420"/>
        <w:jc w:val="left"/>
        <w:spacing w:line="440" w:lineRule="exact"/>
        <w:rPr>
          <w:rFonts w:hint="eastAsia" w:ascii="宋体" w:hAnsi="宋体" w:eastAsia="宋体" w:cs="宋体"/>
          <w:sz w:val="21"/>
          <w:szCs w:val="21"/>
          <w:highlight w:val="none"/>
        </w:rPr>
      </w:pPr>
      <w:r/>
      <w:bookmarkStart w:id="1325" w:name="_Toc280868704"/>
      <w:r/>
      <w:bookmarkStart w:id="1326" w:name="_Toc280868705"/>
      <w:r/>
      <w:bookmarkStart w:id="1327" w:name="_Toc280868706"/>
      <w:r/>
      <w:bookmarkStart w:id="1328" w:name="_Toc280868707"/>
      <w:r/>
      <w:bookmarkStart w:id="1329" w:name="_Toc280868708"/>
      <w:r/>
      <w:bookmarkStart w:id="1330" w:name="_Toc280868709"/>
      <w:r>
        <w:rPr>
          <w:rFonts w:hint="eastAsia" w:ascii="宋体" w:hAnsi="宋体" w:eastAsia="宋体" w:cs="宋体"/>
          <w:sz w:val="21"/>
          <w:szCs w:val="21"/>
          <w:highlight w:val="none"/>
        </w:rPr>
        <w:t xml:space="preserve">13.2.2竣工验收程序</w:t>
      </w:r>
      <w:bookmarkEnd w:id="1325"/>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关于竣工验收程序的约定：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发包人不按照本项约定组织竣工验收、颁发工程接收证书的违约金的计算方法：</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bookmarkEnd w:id="1326"/>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13.2.5移交、接收全部与部分工程</w:t>
      </w:r>
      <w:bookmarkEnd w:id="1327"/>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承包人向发包人移交工程的期限：</w:t>
      </w:r>
      <w:r>
        <w:rPr>
          <w:rFonts w:hint="eastAsia" w:ascii="宋体" w:hAnsi="宋体" w:eastAsia="宋体" w:cs="宋体"/>
          <w:sz w:val="21"/>
          <w:szCs w:val="21"/>
          <w:highlight w:val="none"/>
          <w:u w:val="single"/>
        </w:rPr>
        <w:t xml:space="preserve">颁发工程接受证书后7天内完成工程的移交</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发包人未按本合同约定接收全部或部分工程的，违约金的计算方法为：</w:t>
      </w:r>
      <w:r>
        <w:rPr>
          <w:rFonts w:hint="eastAsia" w:ascii="宋体" w:hAnsi="宋体" w:eastAsia="宋体" w:cs="宋体"/>
          <w:sz w:val="21"/>
          <w:szCs w:val="21"/>
          <w:highlight w:val="none"/>
          <w:u w:val="single"/>
        </w:rPr>
        <w:t xml:space="preserve">如有，双方另行约定</w:t>
      </w:r>
      <w:r>
        <w:rPr>
          <w:rFonts w:hint="eastAsia" w:ascii="宋体" w:hAnsi="宋体" w:eastAsia="宋体" w:cs="宋体"/>
          <w:sz w:val="21"/>
          <w:szCs w:val="21"/>
          <w:highlight w:val="none"/>
        </w:rPr>
        <w:t xml:space="preserve">。</w:t>
      </w:r>
      <w:bookmarkEnd w:id="1328"/>
      <w:r/>
      <w:r/>
    </w:p>
    <w:p>
      <w:pPr>
        <w:pStyle w:val="1342"/>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承包人未按时移交工程的，违约金的计算方法为：</w:t>
      </w:r>
      <w:r>
        <w:rPr>
          <w:rFonts w:hint="eastAsia" w:ascii="宋体" w:hAnsi="宋体" w:eastAsia="宋体" w:cs="宋体"/>
          <w:sz w:val="21"/>
          <w:szCs w:val="21"/>
          <w:highlight w:val="none"/>
          <w:u w:val="single"/>
        </w:rPr>
        <w:t xml:space="preserve">工期每延误一天扣除签约合同价的1‰</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13.3 工程试车</w:t>
      </w:r>
      <w:bookmarkEnd w:id="1329"/>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13.3.1 试车程序</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工程试车内容：</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（1）单机无负荷试车费用由</w:t>
      </w:r>
      <w:r>
        <w:rPr>
          <w:rFonts w:hint="eastAsia" w:ascii="宋体" w:hAnsi="宋体" w:eastAsia="宋体" w:cs="宋体"/>
          <w:sz w:val="21"/>
          <w:szCs w:val="21"/>
          <w:highlight w:val="none"/>
          <w:u w:val="single"/>
        </w:rPr>
        <w:t xml:space="preserve">承包人</w:t>
      </w:r>
      <w:r>
        <w:rPr>
          <w:rFonts w:hint="eastAsia" w:ascii="宋体" w:hAnsi="宋体" w:eastAsia="宋体" w:cs="宋体"/>
          <w:sz w:val="21"/>
          <w:szCs w:val="21"/>
          <w:highlight w:val="none"/>
        </w:rPr>
        <w:t xml:space="preserve">承担；</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（2）无负荷联动试车费用由</w:t>
      </w:r>
      <w:r>
        <w:rPr>
          <w:rFonts w:hint="eastAsia" w:ascii="宋体" w:hAnsi="宋体" w:eastAsia="宋体" w:cs="宋体"/>
          <w:sz w:val="21"/>
          <w:szCs w:val="21"/>
          <w:highlight w:val="none"/>
          <w:u w:val="single"/>
        </w:rPr>
        <w:t xml:space="preserve">承包人</w:t>
      </w:r>
      <w:r>
        <w:rPr>
          <w:rFonts w:hint="eastAsia" w:ascii="宋体" w:hAnsi="宋体" w:eastAsia="宋体" w:cs="宋体"/>
          <w:sz w:val="21"/>
          <w:szCs w:val="21"/>
          <w:highlight w:val="none"/>
        </w:rPr>
        <w:t xml:space="preserve">承担。</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13.3.3 投料试车</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关于投料试车相关事项的约定：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outlineLvl w:val="0"/>
      </w:pPr>
      <w:r/>
      <w:bookmarkStart w:id="1331" w:name="_Toc473034378"/>
      <w:r/>
      <w:bookmarkStart w:id="1332" w:name="_Toc30622615"/>
      <w:r/>
      <w:bookmarkStart w:id="1333" w:name="_Toc30004156"/>
      <w:r/>
      <w:bookmarkStart w:id="1334" w:name="_Toc472686059"/>
      <w:r/>
      <w:bookmarkStart w:id="1335" w:name="_Toc9974946"/>
      <w:r/>
      <w:bookmarkStart w:id="1336" w:name="_Toc54867163"/>
      <w:r/>
      <w:bookmarkStart w:id="1337" w:name="_Toc41327819"/>
      <w:r/>
      <w:bookmarkStart w:id="1338" w:name="_Toc11671833"/>
      <w:r/>
      <w:bookmarkStart w:id="1339" w:name="_Toc499560848"/>
      <w:r/>
      <w:bookmarkStart w:id="1340" w:name="_Toc467144145"/>
      <w:r/>
      <w:bookmarkStart w:id="1341" w:name="_Toc119597900"/>
      <w:r>
        <w:rPr>
          <w:rFonts w:hint="eastAsia" w:ascii="宋体" w:hAnsi="宋体" w:eastAsia="宋体" w:cs="宋体"/>
          <w:b/>
          <w:sz w:val="21"/>
          <w:szCs w:val="21"/>
          <w:highlight w:val="none"/>
        </w:rPr>
        <w:t xml:space="preserve">13.6 竣工退场</w:t>
      </w:r>
      <w:bookmarkEnd w:id="1331"/>
      <w:r/>
      <w:bookmarkEnd w:id="1332"/>
      <w:r/>
      <w:bookmarkEnd w:id="1333"/>
      <w:r/>
      <w:bookmarkEnd w:id="1334"/>
      <w:r/>
      <w:bookmarkEnd w:id="1335"/>
      <w:r/>
      <w:bookmarkEnd w:id="1336"/>
      <w:r/>
      <w:bookmarkEnd w:id="1337"/>
      <w:r/>
      <w:bookmarkEnd w:id="1338"/>
      <w:r/>
      <w:bookmarkEnd w:id="1339"/>
      <w:r/>
      <w:bookmarkEnd w:id="1340"/>
      <w:r/>
      <w:bookmarkEnd w:id="1341"/>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13.6.1 竣工退场</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承包人完成竣工退场的期限：</w:t>
      </w:r>
      <w:r>
        <w:rPr>
          <w:rFonts w:hint="eastAsia" w:ascii="宋体" w:hAnsi="宋体" w:eastAsia="宋体" w:cs="宋体"/>
          <w:sz w:val="21"/>
          <w:szCs w:val="21"/>
          <w:highlight w:val="none"/>
          <w:u w:val="single"/>
        </w:rPr>
        <w:t xml:space="preserve">另行协商</w:t>
      </w:r>
      <w:r>
        <w:rPr>
          <w:rFonts w:hint="eastAsia" w:ascii="宋体" w:hAnsi="宋体" w:eastAsia="宋体" w:cs="宋体"/>
          <w:sz w:val="21"/>
          <w:szCs w:val="21"/>
          <w:highlight w:val="none"/>
        </w:rPr>
        <w:t xml:space="preserve">。</w:t>
      </w:r>
      <w:r/>
    </w:p>
    <w:p>
      <w:pPr>
        <w:pStyle w:val="1341"/>
        <w:spacing w:before="0" w:after="0" w:line="440" w:lineRule="exact"/>
        <w:rPr>
          <w:rFonts w:hint="eastAsia" w:ascii="宋体" w:hAnsi="宋体" w:eastAsia="宋体" w:cs="宋体"/>
          <w:sz w:val="21"/>
          <w:szCs w:val="21"/>
          <w:highlight w:val="none"/>
        </w:rPr>
      </w:pPr>
      <w:r/>
      <w:bookmarkStart w:id="1342" w:name="_Toc351203646"/>
      <w:r>
        <w:rPr>
          <w:rFonts w:hint="eastAsia" w:ascii="宋体" w:hAnsi="宋体" w:eastAsia="宋体" w:cs="宋体"/>
          <w:sz w:val="21"/>
          <w:szCs w:val="21"/>
          <w:highlight w:val="none"/>
        </w:rPr>
        <w:t xml:space="preserve">14. 竣工结算</w:t>
      </w:r>
      <w:bookmarkEnd w:id="1342"/>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14.1 竣工结算申请</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承包人提交竣工结算申请单的期限：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竣工结算申请单应包括的内容：</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outlineLvl w:val="0"/>
      </w:pPr>
      <w:r/>
      <w:bookmarkStart w:id="1343" w:name="_Toc54867164"/>
      <w:r/>
      <w:bookmarkStart w:id="1344" w:name="_Toc9974947"/>
      <w:r/>
      <w:bookmarkStart w:id="1345" w:name="_Toc467144146"/>
      <w:r/>
      <w:bookmarkStart w:id="1346" w:name="_Toc30004157"/>
      <w:r/>
      <w:bookmarkStart w:id="1347" w:name="_Toc119597901"/>
      <w:r/>
      <w:bookmarkStart w:id="1348" w:name="_Toc472686060"/>
      <w:r/>
      <w:bookmarkStart w:id="1349" w:name="_Toc499560849"/>
      <w:r/>
      <w:bookmarkStart w:id="1350" w:name="_Toc30622616"/>
      <w:r/>
      <w:bookmarkStart w:id="1351" w:name="_Toc11671834"/>
      <w:r/>
      <w:bookmarkStart w:id="1352" w:name="_Toc473034379"/>
      <w:r/>
      <w:bookmarkStart w:id="1353" w:name="_Toc41327820"/>
      <w:r>
        <w:rPr>
          <w:rFonts w:hint="eastAsia" w:ascii="宋体" w:hAnsi="宋体" w:eastAsia="宋体" w:cs="宋体"/>
          <w:b/>
          <w:sz w:val="21"/>
          <w:szCs w:val="21"/>
          <w:highlight w:val="none"/>
        </w:rPr>
        <w:t xml:space="preserve">14.2 竣工结算审核</w:t>
      </w:r>
      <w:bookmarkEnd w:id="1343"/>
      <w:r/>
      <w:bookmarkEnd w:id="1344"/>
      <w:r/>
      <w:bookmarkEnd w:id="1345"/>
      <w:r/>
      <w:bookmarkEnd w:id="1346"/>
      <w:r/>
      <w:bookmarkEnd w:id="1347"/>
      <w:r/>
      <w:bookmarkEnd w:id="1348"/>
      <w:r/>
      <w:bookmarkEnd w:id="1349"/>
      <w:r/>
      <w:bookmarkEnd w:id="1350"/>
      <w:r/>
      <w:bookmarkEnd w:id="1351"/>
      <w:r/>
      <w:bookmarkEnd w:id="1352"/>
      <w:r/>
      <w:bookmarkEnd w:id="1353"/>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发包人审批竣工付款申请单的期限：</w:t>
      </w:r>
      <w:r>
        <w:rPr>
          <w:rFonts w:hint="eastAsia" w:ascii="宋体" w:hAnsi="宋体" w:eastAsia="宋体" w:cs="宋体"/>
          <w:sz w:val="21"/>
          <w:szCs w:val="21"/>
          <w:highlight w:val="none"/>
          <w:u w:val="single"/>
        </w:rPr>
        <w:t xml:space="preserve">通用条款第14.2条第（1）款不执行，收到承包人提交的完整结算资料后，由发包人委托造价咨询公司在60天内完成审计。</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发包人完成竣工付款的期限：</w:t>
      </w:r>
      <w:r>
        <w:rPr>
          <w:rFonts w:hint="eastAsia" w:ascii="宋体" w:hAnsi="宋体" w:eastAsia="宋体" w:cs="宋体"/>
          <w:sz w:val="21"/>
          <w:szCs w:val="21"/>
          <w:highlight w:val="none"/>
          <w:u w:val="single"/>
        </w:rPr>
        <w:t xml:space="preserve">根据本项目付款方式</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关于竣工付款证书异议部分复核的方式和程序：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14.4 最终结清</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14.4.1 最终结清申请单</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承包人提交最终结清申请单的份数：</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承包人提交最终结算申请单的期限：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 </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14.4.2 最终结清证书和支付</w:t>
      </w:r>
      <w:r/>
    </w:p>
    <w:p>
      <w:pPr>
        <w:pStyle w:val="1342"/>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（1）发包人完成最终结清申请单的审批并颁发最终结清证书的期限：</w:t>
      </w:r>
      <w:r>
        <w:rPr>
          <w:rFonts w:hint="eastAsia" w:ascii="宋体" w:hAnsi="宋体" w:eastAsia="宋体" w:cs="宋体"/>
          <w:sz w:val="21"/>
          <w:szCs w:val="21"/>
          <w:highlight w:val="none"/>
          <w:u w:val="single"/>
        </w:rPr>
        <w:t xml:space="preserve">通用条款第14.4.2第（1）款不执行，发包人应在收到承包人提交的最终结清申请单后14天内完成审批并向承包人颁发最终结清证书。</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（2）发包人完成支付的期限：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bookmarkEnd w:id="1318"/>
      <w:r/>
      <w:bookmarkEnd w:id="1319"/>
      <w:r/>
      <w:bookmarkEnd w:id="1320"/>
      <w:r/>
      <w:bookmarkEnd w:id="1321"/>
      <w:r/>
      <w:bookmarkEnd w:id="1322"/>
      <w:r/>
      <w:bookmarkEnd w:id="1323"/>
      <w:r/>
      <w:bookmarkEnd w:id="1324"/>
      <w:r/>
      <w:bookmarkEnd w:id="1330"/>
      <w:r/>
      <w:r/>
    </w:p>
    <w:p>
      <w:pPr>
        <w:pStyle w:val="1341"/>
        <w:spacing w:before="0" w:after="0" w:line="440" w:lineRule="exact"/>
        <w:rPr>
          <w:rFonts w:hint="eastAsia" w:ascii="宋体" w:hAnsi="宋体" w:eastAsia="宋体" w:cs="宋体"/>
          <w:sz w:val="21"/>
          <w:szCs w:val="21"/>
          <w:highlight w:val="none"/>
        </w:rPr>
      </w:pPr>
      <w:r/>
      <w:bookmarkStart w:id="1354" w:name="_Toc351203647"/>
      <w:r/>
      <w:bookmarkStart w:id="1355" w:name="_Toc267251483"/>
      <w:r/>
      <w:bookmarkStart w:id="1356" w:name="_Toc267251482"/>
      <w:r/>
      <w:bookmarkStart w:id="1357" w:name="_Toc267251484"/>
      <w:r/>
      <w:bookmarkStart w:id="1358" w:name="_Toc267251485"/>
      <w:r/>
      <w:bookmarkStart w:id="1359" w:name="_Toc267251486"/>
      <w:r/>
      <w:bookmarkStart w:id="1360" w:name="_Toc267251489"/>
      <w:r/>
      <w:bookmarkStart w:id="1361" w:name="_Toc267251490"/>
      <w:r/>
      <w:bookmarkStart w:id="1362" w:name="_Toc267251488"/>
      <w:r/>
      <w:bookmarkStart w:id="1363" w:name="_Toc267251498"/>
      <w:r/>
      <w:bookmarkStart w:id="1364" w:name="_Toc267251493"/>
      <w:r/>
      <w:bookmarkStart w:id="1365" w:name="_Toc267251494"/>
      <w:r/>
      <w:bookmarkStart w:id="1366" w:name="_Toc267251497"/>
      <w:r/>
      <w:bookmarkStart w:id="1367" w:name="_Toc267251501"/>
      <w:r/>
      <w:bookmarkStart w:id="1368" w:name="_Toc267251496"/>
      <w:r/>
      <w:bookmarkStart w:id="1369" w:name="_Toc267251503"/>
      <w:r/>
      <w:bookmarkStart w:id="1370" w:name="_Toc267251491"/>
      <w:r/>
      <w:bookmarkStart w:id="1371" w:name="_Toc267251502"/>
      <w:r/>
      <w:bookmarkStart w:id="1372" w:name="_Toc267251499"/>
      <w:r/>
      <w:bookmarkStart w:id="1373" w:name="_Toc267251492"/>
      <w:r/>
      <w:bookmarkStart w:id="1374" w:name="_Toc267251495"/>
      <w:r/>
      <w:bookmarkStart w:id="1375" w:name="_Toc267251504"/>
      <w:r/>
      <w:bookmarkStart w:id="1376" w:name="_Toc267251506"/>
      <w:r/>
      <w:bookmarkStart w:id="1377" w:name="_Toc267251507"/>
      <w:r/>
      <w:bookmarkStart w:id="1378" w:name="_Toc267251508"/>
      <w:r/>
      <w:bookmarkStart w:id="1379" w:name="_Toc267251513"/>
      <w:r/>
      <w:bookmarkStart w:id="1380" w:name="_Toc267251514"/>
      <w:r/>
      <w:bookmarkStart w:id="1381" w:name="_Toc267251509"/>
      <w:r/>
      <w:bookmarkStart w:id="1382" w:name="_Toc267251510"/>
      <w:r/>
      <w:bookmarkStart w:id="1383" w:name="_Toc267251515"/>
      <w:r/>
      <w:bookmarkStart w:id="1384" w:name="_Toc267251511"/>
      <w:r>
        <w:rPr>
          <w:rFonts w:hint="eastAsia" w:ascii="宋体" w:hAnsi="宋体" w:eastAsia="宋体" w:cs="宋体"/>
          <w:sz w:val="21"/>
          <w:szCs w:val="21"/>
          <w:highlight w:val="none"/>
        </w:rPr>
        <w:t xml:space="preserve">15. 缺陷责任期与保修</w:t>
      </w:r>
      <w:bookmarkEnd w:id="1354"/>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15.2缺陷责任期</w:t>
      </w:r>
      <w:bookmarkEnd w:id="1355"/>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缺陷责任期的具体期限：</w:t>
      </w:r>
      <w:r>
        <w:rPr>
          <w:rFonts w:hint="eastAsia" w:ascii="宋体" w:hAnsi="宋体" w:eastAsia="宋体" w:cs="宋体"/>
          <w:sz w:val="21"/>
          <w:szCs w:val="21"/>
          <w:highlight w:val="none"/>
          <w:u w:val="single"/>
        </w:rPr>
        <w:t xml:space="preserve">实际竣工日期起24个月</w:t>
      </w:r>
      <w:r>
        <w:rPr>
          <w:rFonts w:hint="eastAsia" w:ascii="宋体" w:hAnsi="宋体" w:eastAsia="宋体" w:cs="宋体"/>
          <w:sz w:val="21"/>
          <w:szCs w:val="21"/>
          <w:highlight w:val="none"/>
        </w:rPr>
        <w:t xml:space="preserve">。</w:t>
      </w:r>
      <w:r/>
    </w:p>
    <w:p>
      <w:pPr>
        <w:ind w:firstLine="422"/>
        <w:spacing w:line="332"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15.3 质量保证金</w:t>
      </w:r>
      <w:r/>
    </w:p>
    <w:p>
      <w:pPr>
        <w:ind w:firstLine="420"/>
        <w:jc w:val="left"/>
        <w:spacing w:line="332" w:lineRule="auto"/>
        <w:rPr>
          <w:rFonts w:hint="eastAsia" w:ascii="宋体" w:hAnsi="宋体" w:eastAsia="宋体" w:cs="宋体"/>
          <w:szCs w:val="32"/>
          <w:highlight w:val="none"/>
        </w:rPr>
      </w:pPr>
      <w:r>
        <w:rPr>
          <w:rFonts w:hint="eastAsia" w:ascii="宋体" w:hAnsi="宋体" w:eastAsia="宋体" w:cs="宋体"/>
          <w:szCs w:val="32"/>
          <w:highlight w:val="none"/>
        </w:rPr>
        <w:t xml:space="preserve">关于是否扣留质量保证金的约定：</w:t>
      </w:r>
      <w:r>
        <w:rPr>
          <w:rFonts w:hint="eastAsia" w:ascii="宋体" w:hAnsi="宋体" w:eastAsia="宋体" w:cs="宋体"/>
          <w:szCs w:val="32"/>
          <w:highlight w:val="none"/>
          <w:u w:val="single"/>
        </w:rPr>
        <w:t xml:space="preserve">否</w:t>
      </w:r>
      <w:r>
        <w:rPr>
          <w:rFonts w:hint="eastAsia" w:ascii="宋体" w:hAnsi="宋体" w:eastAsia="宋体" w:cs="宋体"/>
          <w:szCs w:val="32"/>
          <w:highlight w:val="none"/>
        </w:rPr>
        <w:t xml:space="preserve">。</w:t>
      </w:r>
      <w:r/>
    </w:p>
    <w:p>
      <w:pPr>
        <w:ind w:firstLine="420"/>
        <w:jc w:val="left"/>
        <w:spacing w:line="332" w:lineRule="auto"/>
        <w:rPr>
          <w:rFonts w:hint="eastAsia" w:ascii="宋体" w:hAnsi="宋体" w:eastAsia="宋体" w:cs="宋体"/>
          <w:color w:val="ff0000"/>
          <w:szCs w:val="32"/>
          <w:highlight w:val="none"/>
        </w:rPr>
      </w:pPr>
      <w:r>
        <w:rPr>
          <w:rFonts w:hint="eastAsia" w:ascii="宋体" w:hAnsi="宋体" w:eastAsia="宋体" w:cs="宋体"/>
          <w:color w:val="ff0000"/>
          <w:szCs w:val="32"/>
          <w:highlight w:val="none"/>
        </w:rPr>
        <w:t xml:space="preserve">15.3.1 承包人提供质量保证金的方式</w:t>
      </w:r>
      <w:r/>
    </w:p>
    <w:p>
      <w:pPr>
        <w:ind w:firstLine="420"/>
        <w:jc w:val="left"/>
        <w:spacing w:line="332" w:lineRule="auto"/>
        <w:rPr>
          <w:rFonts w:hint="eastAsia" w:ascii="宋体" w:hAnsi="宋体" w:eastAsia="宋体" w:cs="宋体"/>
          <w:color w:val="ff0000"/>
          <w:szCs w:val="32"/>
          <w:highlight w:val="none"/>
        </w:rPr>
      </w:pPr>
      <w:r>
        <w:rPr>
          <w:rFonts w:hint="eastAsia" w:ascii="宋体" w:hAnsi="宋体" w:eastAsia="宋体" w:cs="宋体"/>
          <w:color w:val="ff0000"/>
          <w:szCs w:val="32"/>
          <w:highlight w:val="none"/>
        </w:rPr>
        <w:t xml:space="preserve">质量保证金采用以下第</w:t>
      </w:r>
      <w:r>
        <w:rPr>
          <w:rFonts w:hint="eastAsia" w:ascii="宋体" w:hAnsi="宋体" w:eastAsia="宋体" w:cs="宋体"/>
          <w:color w:val="ff0000"/>
          <w:szCs w:val="32"/>
          <w:highlight w:val="none"/>
          <w:u w:val="single"/>
          <w:lang w:val="en-US" w:eastAsia="zh-CN"/>
        </w:rPr>
        <w:t xml:space="preserve">3</w:t>
      </w:r>
      <w:r>
        <w:rPr>
          <w:rFonts w:hint="eastAsia" w:ascii="宋体" w:hAnsi="宋体" w:eastAsia="宋体" w:cs="宋体"/>
          <w:color w:val="ff0000"/>
          <w:szCs w:val="32"/>
          <w:highlight w:val="none"/>
        </w:rPr>
        <w:t xml:space="preserve">种方式：</w:t>
      </w:r>
      <w:r/>
    </w:p>
    <w:p>
      <w:pPr>
        <w:ind w:firstLine="420"/>
        <w:jc w:val="left"/>
        <w:spacing w:line="332" w:lineRule="auto"/>
        <w:rPr>
          <w:rFonts w:hint="eastAsia" w:ascii="宋体" w:hAnsi="宋体" w:eastAsia="宋体" w:cs="宋体"/>
          <w:color w:val="ff0000"/>
          <w:szCs w:val="32"/>
          <w:highlight w:val="none"/>
        </w:rPr>
      </w:pPr>
      <w:r>
        <w:rPr>
          <w:rFonts w:hint="eastAsia" w:ascii="宋体" w:hAnsi="宋体" w:eastAsia="宋体" w:cs="宋体"/>
          <w:color w:val="ff0000"/>
          <w:szCs w:val="32"/>
          <w:highlight w:val="none"/>
        </w:rPr>
        <w:t xml:space="preserve">（1）质量保证金保函，保证金额为：</w:t>
      </w:r>
      <w:r>
        <w:rPr>
          <w:rFonts w:hint="eastAsia" w:ascii="宋体" w:hAnsi="宋体" w:eastAsia="宋体" w:cs="宋体"/>
          <w:color w:val="ff0000"/>
          <w:szCs w:val="32"/>
          <w:highlight w:val="none"/>
          <w:u w:val="single"/>
        </w:rPr>
        <w:t xml:space="preserve">   /  </w:t>
      </w:r>
      <w:r>
        <w:rPr>
          <w:rFonts w:hint="eastAsia" w:ascii="宋体" w:hAnsi="宋体" w:eastAsia="宋体" w:cs="宋体"/>
          <w:color w:val="ff0000"/>
          <w:szCs w:val="32"/>
          <w:highlight w:val="none"/>
        </w:rPr>
        <w:t xml:space="preserve">；</w:t>
      </w:r>
      <w:r/>
    </w:p>
    <w:p>
      <w:pPr>
        <w:ind w:firstLine="420"/>
        <w:jc w:val="left"/>
        <w:spacing w:line="332" w:lineRule="auto"/>
        <w:rPr>
          <w:rFonts w:hint="eastAsia" w:ascii="宋体" w:hAnsi="宋体" w:eastAsia="宋体" w:cs="宋体"/>
          <w:color w:val="ff0000"/>
          <w:szCs w:val="32"/>
          <w:highlight w:val="none"/>
        </w:rPr>
      </w:pPr>
      <w:r>
        <w:rPr>
          <w:rFonts w:hint="eastAsia" w:ascii="宋体" w:hAnsi="宋体" w:eastAsia="宋体" w:cs="宋体"/>
          <w:color w:val="ff0000"/>
          <w:szCs w:val="32"/>
          <w:highlight w:val="none"/>
        </w:rPr>
        <w:t xml:space="preserve">（2）</w:t>
      </w:r>
      <w:r>
        <w:rPr>
          <w:rFonts w:hint="eastAsia" w:ascii="宋体" w:hAnsi="宋体" w:eastAsia="宋体" w:cs="宋体"/>
          <w:color w:val="ff0000"/>
          <w:szCs w:val="32"/>
          <w:highlight w:val="none"/>
          <w:u w:val="single"/>
        </w:rPr>
        <w:t xml:space="preserve"> </w:t>
      </w:r>
      <w:r>
        <w:rPr>
          <w:rFonts w:hint="eastAsia" w:ascii="宋体" w:hAnsi="宋体" w:cs="宋体"/>
          <w:color w:val="ff0000"/>
          <w:szCs w:val="32"/>
          <w:highlight w:val="none"/>
          <w:u w:val="single"/>
          <w:lang w:val="en-US" w:eastAsia="zh-CN"/>
        </w:rPr>
        <w:t xml:space="preserve">3 </w:t>
      </w:r>
      <w:r>
        <w:rPr>
          <w:rFonts w:hint="eastAsia" w:ascii="宋体" w:hAnsi="宋体" w:eastAsia="宋体" w:cs="宋体"/>
          <w:color w:val="ff0000"/>
          <w:szCs w:val="32"/>
          <w:highlight w:val="none"/>
        </w:rPr>
        <w:t xml:space="preserve">%的工程款；</w:t>
      </w:r>
      <w:r/>
    </w:p>
    <w:p>
      <w:pPr>
        <w:ind w:firstLine="420"/>
        <w:jc w:val="left"/>
        <w:spacing w:line="332" w:lineRule="auto"/>
        <w:rPr>
          <w:rFonts w:hint="eastAsia" w:ascii="宋体" w:hAnsi="宋体" w:eastAsia="宋体" w:cs="宋体"/>
          <w:color w:val="ff0000"/>
          <w:szCs w:val="32"/>
          <w:highlight w:val="none"/>
          <w:u w:val="single"/>
        </w:rPr>
      </w:pPr>
      <w:r>
        <w:rPr>
          <w:rFonts w:hint="eastAsia" w:ascii="宋体" w:hAnsi="宋体" w:eastAsia="宋体" w:cs="宋体"/>
          <w:color w:val="ff0000"/>
          <w:szCs w:val="32"/>
          <w:highlight w:val="none"/>
        </w:rPr>
        <w:t xml:space="preserve">（3）其他方式：</w:t>
      </w:r>
      <w:r>
        <w:rPr>
          <w:rFonts w:hint="eastAsia" w:ascii="宋体" w:hAnsi="宋体" w:cs="宋体"/>
          <w:color w:val="ff0000"/>
          <w:szCs w:val="32"/>
          <w:highlight w:val="none"/>
          <w:u w:val="single"/>
          <w:lang w:val="en-US" w:eastAsia="zh-CN"/>
        </w:rPr>
        <w:t xml:space="preserve">/</w:t>
      </w:r>
      <w:r>
        <w:rPr>
          <w:rFonts w:hint="eastAsia" w:ascii="宋体" w:hAnsi="宋体" w:eastAsia="宋体" w:cs="宋体"/>
          <w:color w:val="ff0000"/>
          <w:szCs w:val="32"/>
          <w:highlight w:val="none"/>
          <w:u w:val="single"/>
          <w:lang w:val="en-US" w:eastAsia="zh-CN"/>
        </w:rPr>
        <w:t xml:space="preserve"> </w:t>
      </w:r>
      <w:r>
        <w:rPr>
          <w:rFonts w:hint="eastAsia" w:ascii="宋体" w:hAnsi="宋体" w:eastAsia="宋体" w:cs="宋体"/>
          <w:color w:val="ff0000"/>
          <w:szCs w:val="32"/>
          <w:highlight w:val="none"/>
        </w:rPr>
        <w:t xml:space="preserve">。</w:t>
      </w:r>
      <w:r/>
    </w:p>
    <w:p>
      <w:pPr>
        <w:ind w:firstLine="420"/>
        <w:jc w:val="left"/>
        <w:spacing w:line="332" w:lineRule="auto"/>
        <w:rPr>
          <w:rFonts w:hint="eastAsia" w:ascii="宋体" w:hAnsi="宋体" w:eastAsia="宋体" w:cs="宋体"/>
          <w:szCs w:val="32"/>
          <w:highlight w:val="none"/>
        </w:rPr>
      </w:pPr>
      <w:r>
        <w:rPr>
          <w:rFonts w:hint="eastAsia" w:ascii="宋体" w:hAnsi="宋体" w:eastAsia="宋体" w:cs="宋体"/>
          <w:szCs w:val="32"/>
          <w:highlight w:val="none"/>
        </w:rPr>
        <w:t xml:space="preserve">15.3.2 质量保证金的扣留</w:t>
      </w:r>
      <w:r/>
    </w:p>
    <w:p>
      <w:pPr>
        <w:ind w:firstLine="420"/>
        <w:jc w:val="left"/>
        <w:spacing w:line="332" w:lineRule="auto"/>
        <w:rPr>
          <w:rFonts w:hint="eastAsia" w:ascii="宋体" w:hAnsi="宋体" w:eastAsia="宋体" w:cs="宋体"/>
          <w:szCs w:val="32"/>
          <w:highlight w:val="none"/>
        </w:rPr>
      </w:pPr>
      <w:r>
        <w:rPr>
          <w:rFonts w:hint="eastAsia" w:ascii="宋体" w:hAnsi="宋体" w:eastAsia="宋体" w:cs="宋体"/>
          <w:szCs w:val="32"/>
          <w:highlight w:val="none"/>
        </w:rPr>
        <w:t xml:space="preserve">质量保证金的扣留采取以下第</w:t>
      </w:r>
      <w:r>
        <w:rPr>
          <w:rFonts w:hint="eastAsia" w:ascii="宋体" w:hAnsi="宋体" w:eastAsia="宋体" w:cs="宋体"/>
          <w:szCs w:val="32"/>
          <w:highlight w:val="none"/>
          <w:u w:val="single"/>
          <w:lang w:val="en-US" w:eastAsia="zh-CN"/>
        </w:rPr>
        <w:t xml:space="preserve"> / </w:t>
      </w:r>
      <w:r>
        <w:rPr>
          <w:rFonts w:hint="eastAsia" w:ascii="宋体" w:hAnsi="宋体" w:eastAsia="宋体" w:cs="宋体"/>
          <w:szCs w:val="32"/>
          <w:highlight w:val="none"/>
        </w:rPr>
        <w:t xml:space="preserve">种方式：</w:t>
      </w:r>
      <w:r/>
    </w:p>
    <w:p>
      <w:pPr>
        <w:ind w:firstLine="420"/>
        <w:jc w:val="left"/>
        <w:spacing w:line="332" w:lineRule="auto"/>
        <w:rPr>
          <w:rFonts w:hint="eastAsia" w:ascii="宋体" w:hAnsi="宋体" w:eastAsia="宋体" w:cs="宋体"/>
          <w:szCs w:val="32"/>
          <w:highlight w:val="none"/>
        </w:rPr>
      </w:pPr>
      <w:r>
        <w:rPr>
          <w:rFonts w:hint="eastAsia" w:ascii="宋体" w:hAnsi="宋体" w:eastAsia="宋体" w:cs="宋体"/>
          <w:szCs w:val="32"/>
          <w:highlight w:val="none"/>
        </w:rPr>
        <w:t xml:space="preserve">（1）在支付工程进度款时逐次扣留，在此情形下，质量保证金的计算基数不包括预付款的支付、扣回以及价格调整的金额；</w:t>
      </w:r>
      <w:r/>
    </w:p>
    <w:p>
      <w:pPr>
        <w:ind w:firstLine="424"/>
        <w:spacing w:line="332" w:lineRule="auto"/>
        <w:rPr>
          <w:rFonts w:hint="eastAsia" w:ascii="宋体" w:hAnsi="宋体" w:eastAsia="宋体" w:cs="宋体"/>
          <w:highlight w:val="none"/>
        </w:rPr>
      </w:pPr>
      <w:r>
        <w:rPr>
          <w:rFonts w:hint="eastAsia" w:ascii="宋体" w:hAnsi="宋体" w:eastAsia="宋体" w:cs="宋体"/>
          <w:highlight w:val="none"/>
        </w:rPr>
        <w:t xml:space="preserve">（2）工程竣工结算时一次性扣留质量保证金；</w:t>
      </w:r>
      <w:r/>
    </w:p>
    <w:p>
      <w:pPr>
        <w:ind w:firstLine="420"/>
        <w:jc w:val="left"/>
        <w:spacing w:line="332" w:lineRule="auto"/>
        <w:rPr>
          <w:rFonts w:hint="eastAsia" w:ascii="宋体" w:hAnsi="宋体" w:eastAsia="宋体" w:cs="宋体"/>
          <w:color w:val="auto"/>
          <w:szCs w:val="32"/>
          <w:highlight w:val="none"/>
        </w:rPr>
      </w:pPr>
      <w:r>
        <w:rPr>
          <w:rFonts w:hint="eastAsia" w:ascii="宋体" w:hAnsi="宋体" w:eastAsia="宋体" w:cs="宋体"/>
          <w:szCs w:val="32"/>
          <w:highlight w:val="none"/>
        </w:rPr>
        <w:t xml:space="preserve">（3）其</w:t>
      </w:r>
      <w:r>
        <w:rPr>
          <w:rFonts w:hint="eastAsia" w:ascii="宋体" w:hAnsi="宋体" w:eastAsia="宋体" w:cs="宋体"/>
          <w:color w:val="auto"/>
          <w:szCs w:val="32"/>
          <w:highlight w:val="none"/>
        </w:rPr>
        <w:t xml:space="preserve">他扣留方式:</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4"/>
        <w:spacing w:line="332"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关于质量保证金的补充约定：</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w:t>
      </w:r>
      <w:bookmarkEnd w:id="1356"/>
      <w:r/>
      <w:bookmarkEnd w:id="1357"/>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15.4保修</w:t>
      </w:r>
      <w:bookmarkEnd w:id="1358"/>
      <w:r/>
      <w:r/>
    </w:p>
    <w:p>
      <w:pPr>
        <w:pStyle w:val="1342"/>
        <w:ind w:firstLine="409"/>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15.4.1 保修责任</w:t>
      </w:r>
      <w:r/>
    </w:p>
    <w:p>
      <w:pPr>
        <w:pStyle w:val="1342"/>
        <w:ind w:firstLine="409"/>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工程保修期为：</w:t>
      </w:r>
      <w:r>
        <w:rPr>
          <w:rFonts w:hint="eastAsia" w:ascii="宋体" w:hAnsi="宋体" w:eastAsia="宋体" w:cs="宋体"/>
          <w:sz w:val="21"/>
          <w:szCs w:val="21"/>
          <w:highlight w:val="none"/>
          <w:u w:val="single"/>
        </w:rPr>
        <w:t xml:space="preserve">详见工程质量保修书</w:t>
      </w:r>
      <w:r>
        <w:rPr>
          <w:rFonts w:hint="eastAsia" w:ascii="宋体" w:hAnsi="宋体" w:eastAsia="宋体" w:cs="宋体"/>
          <w:sz w:val="21"/>
          <w:szCs w:val="21"/>
          <w:highlight w:val="none"/>
        </w:rPr>
        <w:t xml:space="preserve">。</w:t>
      </w:r>
      <w:r/>
    </w:p>
    <w:p>
      <w:pPr>
        <w:pStyle w:val="1342"/>
        <w:ind w:firstLine="409"/>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15.4.3 修复通知</w:t>
      </w:r>
      <w:r/>
    </w:p>
    <w:p>
      <w:pPr>
        <w:pStyle w:val="1342"/>
        <w:ind w:firstLine="409"/>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承包人收到保修通知并到达工程现场的合理时间：</w:t>
      </w:r>
      <w:r>
        <w:rPr>
          <w:rFonts w:hint="eastAsia" w:ascii="宋体" w:hAnsi="宋体" w:eastAsia="宋体" w:cs="宋体"/>
          <w:sz w:val="21"/>
          <w:szCs w:val="21"/>
          <w:highlight w:val="none"/>
          <w:u w:val="single"/>
        </w:rPr>
        <w:t xml:space="preserve">双方约定</w:t>
      </w:r>
      <w:r>
        <w:rPr>
          <w:rFonts w:hint="eastAsia" w:ascii="宋体" w:hAnsi="宋体" w:eastAsia="宋体" w:cs="宋体"/>
          <w:sz w:val="21"/>
          <w:szCs w:val="21"/>
          <w:highlight w:val="none"/>
        </w:rPr>
        <w:t xml:space="preserve">。</w:t>
      </w:r>
      <w:bookmarkEnd w:id="1359"/>
      <w:r/>
      <w:bookmarkEnd w:id="1360"/>
      <w:r/>
      <w:bookmarkEnd w:id="1361"/>
      <w:r/>
      <w:bookmarkEnd w:id="1362"/>
      <w:r/>
      <w:r/>
    </w:p>
    <w:p>
      <w:pPr>
        <w:pStyle w:val="1341"/>
        <w:spacing w:before="0" w:after="0" w:line="440" w:lineRule="exact"/>
        <w:rPr>
          <w:rFonts w:hint="eastAsia" w:ascii="宋体" w:hAnsi="宋体" w:eastAsia="宋体" w:cs="宋体"/>
          <w:sz w:val="21"/>
          <w:szCs w:val="21"/>
          <w:highlight w:val="none"/>
        </w:rPr>
      </w:pPr>
      <w:r/>
      <w:bookmarkStart w:id="1385" w:name="_Toc351203648"/>
      <w:r/>
      <w:bookmarkStart w:id="1386" w:name="_Toc280868717"/>
      <w:r/>
      <w:bookmarkStart w:id="1387" w:name="_Toc280868718"/>
      <w:r>
        <w:rPr>
          <w:rFonts w:hint="eastAsia" w:ascii="宋体" w:hAnsi="宋体" w:eastAsia="宋体" w:cs="宋体"/>
          <w:sz w:val="21"/>
          <w:szCs w:val="21"/>
          <w:highlight w:val="none"/>
        </w:rPr>
        <w:t xml:space="preserve">16. 违约</w:t>
      </w:r>
      <w:bookmarkEnd w:id="1385"/>
      <w:r/>
      <w:r/>
    </w:p>
    <w:p>
      <w:pPr>
        <w:pStyle w:val="1342"/>
        <w:ind w:firstLine="422"/>
        <w:spacing w:line="440" w:lineRule="exact"/>
        <w:rPr>
          <w:rFonts w:hint="eastAsia" w:ascii="宋体" w:hAnsi="宋体" w:eastAsia="宋体" w:cs="宋体"/>
          <w:b/>
          <w:sz w:val="21"/>
          <w:szCs w:val="21"/>
          <w:highlight w:val="none"/>
        </w:rPr>
        <w:outlineLvl w:val="0"/>
      </w:pPr>
      <w:r/>
      <w:bookmarkStart w:id="1388" w:name="_Toc11671839"/>
      <w:r/>
      <w:bookmarkStart w:id="1389" w:name="_Toc119597906"/>
      <w:r/>
      <w:bookmarkStart w:id="1390" w:name="_Toc472686065"/>
      <w:r/>
      <w:bookmarkStart w:id="1391" w:name="_Toc499560854"/>
      <w:r/>
      <w:bookmarkStart w:id="1392" w:name="_Toc467144151"/>
      <w:r/>
      <w:bookmarkStart w:id="1393" w:name="_Toc30622621"/>
      <w:r/>
      <w:bookmarkStart w:id="1394" w:name="_Toc41327825"/>
      <w:r/>
      <w:bookmarkStart w:id="1395" w:name="_Toc54867169"/>
      <w:r/>
      <w:bookmarkStart w:id="1396" w:name="_Toc9974952"/>
      <w:r/>
      <w:bookmarkStart w:id="1397" w:name="_Toc30004162"/>
      <w:r/>
      <w:bookmarkStart w:id="1398" w:name="_Toc473034384"/>
      <w:r>
        <w:rPr>
          <w:rFonts w:hint="eastAsia" w:ascii="宋体" w:hAnsi="宋体" w:eastAsia="宋体" w:cs="宋体"/>
          <w:b/>
          <w:sz w:val="21"/>
          <w:szCs w:val="21"/>
          <w:highlight w:val="none"/>
        </w:rPr>
        <w:t xml:space="preserve">16.1 发包人违约</w:t>
      </w:r>
      <w:bookmarkEnd w:id="1388"/>
      <w:r/>
      <w:bookmarkEnd w:id="1389"/>
      <w:r/>
      <w:bookmarkEnd w:id="1390"/>
      <w:r/>
      <w:bookmarkEnd w:id="1391"/>
      <w:r/>
      <w:bookmarkEnd w:id="1392"/>
      <w:r/>
      <w:bookmarkEnd w:id="1393"/>
      <w:r/>
      <w:bookmarkEnd w:id="1394"/>
      <w:r/>
      <w:bookmarkEnd w:id="1395"/>
      <w:r/>
      <w:bookmarkEnd w:id="1396"/>
      <w:r/>
      <w:bookmarkEnd w:id="1397"/>
      <w:r/>
      <w:bookmarkEnd w:id="1398"/>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16.1.1发包人违约的情形</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发包人违约的其他情形：</w:t>
      </w:r>
      <w:r>
        <w:rPr>
          <w:rFonts w:hint="eastAsia" w:ascii="宋体" w:hAnsi="宋体" w:eastAsia="宋体" w:cs="宋体"/>
          <w:sz w:val="21"/>
          <w:szCs w:val="21"/>
          <w:highlight w:val="none"/>
          <w:u w:val="single"/>
        </w:rPr>
        <w:t xml:space="preserve"> 无</w:t>
      </w:r>
      <w:r>
        <w:rPr>
          <w:rFonts w:hint="eastAsia" w:ascii="宋体" w:hAnsi="宋体" w:eastAsia="宋体" w:cs="宋体"/>
          <w:sz w:val="21"/>
          <w:szCs w:val="21"/>
          <w:highlight w:val="none"/>
        </w:rPr>
        <w:t xml:space="preserve">。</w:t>
      </w:r>
      <w:r/>
    </w:p>
    <w:p>
      <w:pPr>
        <w:pStyle w:val="1342"/>
        <w:ind w:left="1050" w:hanging="105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16.1.2 发包人违约的责任</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发包人违约责任的承担方式和计算方法：</w:t>
      </w:r>
      <w:r/>
    </w:p>
    <w:p>
      <w:pPr>
        <w:pStyle w:val="1342"/>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（1）因发包人原因未能在计划开工日期前7天内下达开工通知的违约责任：</w:t>
      </w:r>
      <w:r>
        <w:rPr>
          <w:rFonts w:hint="eastAsia" w:ascii="宋体" w:hAnsi="宋体" w:eastAsia="宋体" w:cs="宋体"/>
          <w:sz w:val="21"/>
          <w:szCs w:val="21"/>
          <w:highlight w:val="none"/>
          <w:u w:val="single"/>
        </w:rPr>
        <w:t xml:space="preserve">工期顺延</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（2）因发包人原因未能按合同约定支付合同价款的违约责任：</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（3）发包人违反第10.1款〔变更的范围〕第（2）项约定，自行实施被取消的工作或转由他人实施的违约责任：</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rPr>
        <w:t xml:space="preserve">工期顺延</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（5）因发包人违反合同约定造成暂停施工的违约责任：</w:t>
      </w:r>
      <w:r>
        <w:rPr>
          <w:rFonts w:hint="eastAsia" w:ascii="宋体" w:hAnsi="宋体" w:eastAsia="宋体" w:cs="宋体"/>
          <w:sz w:val="21"/>
          <w:szCs w:val="21"/>
          <w:highlight w:val="none"/>
          <w:u w:val="single"/>
        </w:rPr>
        <w:t xml:space="preserve">   工期顺延   </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（6）发包人无正当理由没有在约定期限内发出复工指示，导致承包人无法复工的违约责任：</w:t>
      </w:r>
      <w:r>
        <w:rPr>
          <w:rFonts w:hint="eastAsia" w:ascii="宋体" w:hAnsi="宋体" w:eastAsia="宋体" w:cs="宋体"/>
          <w:sz w:val="21"/>
          <w:szCs w:val="21"/>
          <w:highlight w:val="none"/>
          <w:u w:val="single"/>
        </w:rPr>
        <w:t xml:space="preserve">工期顺延</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（7）其他：</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16.1.3 因发包人违约解除合同</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承包人按16.1.1项〔发包人违约的情形〕约定暂停施工满</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天后发包人仍不纠正其违约行为并致使合同目的不能实现的，承包人有权解除合同。</w:t>
      </w:r>
      <w:r/>
    </w:p>
    <w:p>
      <w:pPr>
        <w:pStyle w:val="1342"/>
        <w:ind w:firstLine="422"/>
        <w:spacing w:line="440" w:lineRule="exact"/>
        <w:rPr>
          <w:rFonts w:hint="eastAsia" w:ascii="宋体" w:hAnsi="宋体" w:eastAsia="宋体" w:cs="宋体"/>
          <w:b/>
          <w:sz w:val="21"/>
          <w:szCs w:val="21"/>
          <w:highlight w:val="none"/>
        </w:rPr>
        <w:outlineLvl w:val="0"/>
      </w:pPr>
      <w:r/>
      <w:bookmarkStart w:id="1399" w:name="_Toc41327826"/>
      <w:r/>
      <w:bookmarkStart w:id="1400" w:name="_Toc9974953"/>
      <w:r/>
      <w:bookmarkStart w:id="1401" w:name="_Toc499560855"/>
      <w:r/>
      <w:bookmarkStart w:id="1402" w:name="_Toc467144152"/>
      <w:r/>
      <w:bookmarkStart w:id="1403" w:name="_Toc30004163"/>
      <w:r/>
      <w:bookmarkStart w:id="1404" w:name="_Toc473034385"/>
      <w:r/>
      <w:bookmarkStart w:id="1405" w:name="_Toc30622622"/>
      <w:r/>
      <w:bookmarkStart w:id="1406" w:name="_Toc11671840"/>
      <w:r/>
      <w:bookmarkStart w:id="1407" w:name="_Toc54867170"/>
      <w:r/>
      <w:bookmarkStart w:id="1408" w:name="_Toc472686066"/>
      <w:r/>
      <w:bookmarkStart w:id="1409" w:name="_Toc119597907"/>
      <w:r>
        <w:rPr>
          <w:rFonts w:hint="eastAsia" w:ascii="宋体" w:hAnsi="宋体" w:eastAsia="宋体" w:cs="宋体"/>
          <w:b/>
          <w:sz w:val="21"/>
          <w:szCs w:val="21"/>
          <w:highlight w:val="none"/>
        </w:rPr>
        <w:t xml:space="preserve">16.2 承包人违约</w:t>
      </w:r>
      <w:bookmarkEnd w:id="1399"/>
      <w:r/>
      <w:bookmarkEnd w:id="1400"/>
      <w:r/>
      <w:bookmarkEnd w:id="1401"/>
      <w:r/>
      <w:bookmarkEnd w:id="1402"/>
      <w:r/>
      <w:bookmarkEnd w:id="1403"/>
      <w:r/>
      <w:bookmarkEnd w:id="1404"/>
      <w:r/>
      <w:bookmarkEnd w:id="1405"/>
      <w:r/>
      <w:bookmarkEnd w:id="1406"/>
      <w:r/>
      <w:bookmarkEnd w:id="1407"/>
      <w:r/>
      <w:bookmarkEnd w:id="1408"/>
      <w:r/>
      <w:bookmarkEnd w:id="1409"/>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16.2.1 承包人违约的情形</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承包人违约的其他情形：</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16.2.2承包人违约的责任</w:t>
      </w:r>
      <w:r/>
    </w:p>
    <w:p>
      <w:pPr>
        <w:pStyle w:val="1342"/>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承包人违约责任的承担方式和计算方法：</w:t>
      </w:r>
      <w:r>
        <w:rPr>
          <w:rFonts w:hint="eastAsia" w:ascii="宋体" w:hAnsi="宋体" w:eastAsia="宋体" w:cs="宋体"/>
          <w:sz w:val="21"/>
          <w:szCs w:val="21"/>
          <w:highlight w:val="none"/>
          <w:u w:val="single"/>
        </w:rPr>
        <w:t xml:space="preserve">①承包人应承</w:t>
      </w:r>
      <w:r>
        <w:rPr>
          <w:rFonts w:hint="eastAsia" w:ascii="宋体" w:hAnsi="宋体" w:eastAsia="宋体" w:cs="宋体"/>
          <w:sz w:val="21"/>
          <w:szCs w:val="21"/>
          <w:highlight w:val="none"/>
          <w:u w:val="single"/>
        </w:rPr>
        <w:t xml:space="preserve">担其违约行为而增加的费用和（或）延误的工期,增加的费用和(或)延误的工期由监理方和造价控制方确认。②承包人转包工程或非法分包工程的，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10%的违约金，同时对承包人已完合格工程量按80%的标准进行结算。如承包人拒不配合确认工程量，发包人可以会同监理方、造价控制方对现场已完工程量进行测量、确认。</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16.2.3 因承包人违约解除合同</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关于承包人违约解除合同的特别约定：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1"/>
          <w:szCs w:val="21"/>
          <w:highlight w:val="none"/>
          <w:u w:val="single"/>
        </w:rPr>
        <w:t xml:space="preserve">发包人无偿使用</w:t>
      </w:r>
      <w:r>
        <w:rPr>
          <w:rFonts w:hint="eastAsia" w:ascii="宋体" w:hAnsi="宋体" w:eastAsia="宋体" w:cs="宋体"/>
          <w:sz w:val="21"/>
          <w:szCs w:val="21"/>
          <w:highlight w:val="none"/>
        </w:rPr>
        <w:t xml:space="preserve">。</w:t>
      </w:r>
      <w:r/>
    </w:p>
    <w:p>
      <w:pPr>
        <w:pStyle w:val="1341"/>
        <w:spacing w:before="0" w:after="0" w:line="440" w:lineRule="exact"/>
        <w:rPr>
          <w:rFonts w:hint="eastAsia" w:ascii="宋体" w:hAnsi="宋体" w:eastAsia="宋体" w:cs="宋体"/>
          <w:sz w:val="21"/>
          <w:szCs w:val="21"/>
          <w:highlight w:val="none"/>
        </w:rPr>
      </w:pPr>
      <w:r/>
      <w:bookmarkStart w:id="1410" w:name="_Toc351203649"/>
      <w:r>
        <w:rPr>
          <w:rFonts w:hint="eastAsia" w:ascii="宋体" w:hAnsi="宋体" w:eastAsia="宋体" w:cs="宋体"/>
          <w:sz w:val="21"/>
          <w:szCs w:val="21"/>
          <w:highlight w:val="none"/>
        </w:rPr>
        <w:t xml:space="preserve">17. 不可抗力</w:t>
      </w:r>
      <w:bookmarkEnd w:id="1386"/>
      <w:r/>
      <w:bookmarkEnd w:id="1410"/>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17.1 不可抗力的确认</w:t>
      </w:r>
      <w:r/>
    </w:p>
    <w:p>
      <w:pPr>
        <w:pStyle w:val="1342"/>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除通用合同条款约定的不可抗力事件之外，视为不可抗力的其他情形： </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outlineLvl w:val="0"/>
      </w:pPr>
      <w:r/>
      <w:bookmarkStart w:id="1411" w:name="_Toc30004164"/>
      <w:r/>
      <w:bookmarkStart w:id="1412" w:name="_Toc119597908"/>
      <w:r/>
      <w:bookmarkStart w:id="1413" w:name="_Toc499560856"/>
      <w:r/>
      <w:bookmarkStart w:id="1414" w:name="_Toc54867171"/>
      <w:r/>
      <w:bookmarkStart w:id="1415" w:name="_Toc473034386"/>
      <w:r/>
      <w:bookmarkStart w:id="1416" w:name="_Toc9974954"/>
      <w:r/>
      <w:bookmarkStart w:id="1417" w:name="_Toc41327827"/>
      <w:r/>
      <w:bookmarkStart w:id="1418" w:name="_Toc467144153"/>
      <w:r/>
      <w:bookmarkStart w:id="1419" w:name="_Toc30622623"/>
      <w:r/>
      <w:bookmarkStart w:id="1420" w:name="_Toc11671841"/>
      <w:r/>
      <w:bookmarkStart w:id="1421" w:name="_Toc472686067"/>
      <w:r>
        <w:rPr>
          <w:rFonts w:hint="eastAsia" w:ascii="宋体" w:hAnsi="宋体" w:eastAsia="宋体" w:cs="宋体"/>
          <w:b/>
          <w:sz w:val="21"/>
          <w:szCs w:val="21"/>
          <w:highlight w:val="none"/>
        </w:rPr>
        <w:t xml:space="preserve">17.4 因不可抗力解除合同</w:t>
      </w:r>
      <w:bookmarkEnd w:id="1411"/>
      <w:r/>
      <w:bookmarkEnd w:id="1412"/>
      <w:r/>
      <w:bookmarkEnd w:id="1413"/>
      <w:r/>
      <w:bookmarkEnd w:id="1414"/>
      <w:r/>
      <w:bookmarkEnd w:id="1415"/>
      <w:r/>
      <w:bookmarkEnd w:id="1416"/>
      <w:r/>
      <w:bookmarkEnd w:id="1417"/>
      <w:r/>
      <w:bookmarkEnd w:id="1418"/>
      <w:r/>
      <w:bookmarkEnd w:id="1419"/>
      <w:r/>
      <w:bookmarkEnd w:id="1420"/>
      <w:r/>
      <w:bookmarkEnd w:id="1421"/>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合同解除后，发包人应在商定或确定发包人应支付款项后</w:t>
      </w:r>
      <w:r>
        <w:rPr>
          <w:rFonts w:hint="eastAsia" w:ascii="宋体" w:hAnsi="宋体" w:eastAsia="宋体" w:cs="宋体"/>
          <w:sz w:val="21"/>
          <w:szCs w:val="21"/>
          <w:highlight w:val="none"/>
          <w:u w:val="single"/>
        </w:rPr>
        <w:t xml:space="preserve">28</w:t>
      </w:r>
      <w:r>
        <w:rPr>
          <w:rFonts w:hint="eastAsia" w:ascii="宋体" w:hAnsi="宋体" w:eastAsia="宋体" w:cs="宋体"/>
          <w:sz w:val="21"/>
          <w:szCs w:val="21"/>
          <w:highlight w:val="none"/>
        </w:rPr>
        <w:t xml:space="preserve">天内完成款项的支付。</w:t>
      </w:r>
      <w:r/>
    </w:p>
    <w:p>
      <w:pPr>
        <w:pStyle w:val="1341"/>
        <w:spacing w:before="0" w:after="0" w:line="440" w:lineRule="exact"/>
        <w:rPr>
          <w:rFonts w:hint="eastAsia" w:ascii="宋体" w:hAnsi="宋体" w:eastAsia="宋体" w:cs="宋体"/>
          <w:sz w:val="21"/>
          <w:szCs w:val="21"/>
          <w:highlight w:val="none"/>
        </w:rPr>
      </w:pPr>
      <w:r/>
      <w:bookmarkStart w:id="1422" w:name="_Toc351203650"/>
      <w:r>
        <w:rPr>
          <w:rFonts w:hint="eastAsia" w:ascii="宋体" w:hAnsi="宋体" w:eastAsia="宋体" w:cs="宋体"/>
          <w:sz w:val="21"/>
          <w:szCs w:val="21"/>
          <w:highlight w:val="none"/>
        </w:rPr>
        <w:t xml:space="preserve">18. 保险</w:t>
      </w:r>
      <w:bookmarkEnd w:id="1387"/>
      <w:r/>
      <w:bookmarkEnd w:id="1422"/>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18.1 工程保险</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关于工程保险的特别约定：</w:t>
      </w:r>
      <w:r>
        <w:rPr>
          <w:rFonts w:hint="eastAsia" w:ascii="宋体" w:hAnsi="宋体" w:eastAsia="宋体" w:cs="宋体"/>
          <w:sz w:val="21"/>
          <w:szCs w:val="21"/>
          <w:highlight w:val="none"/>
          <w:u w:val="single"/>
        </w:rPr>
        <w:t xml:space="preserve">由承包人支付</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outlineLvl w:val="0"/>
      </w:pPr>
      <w:r/>
      <w:bookmarkStart w:id="1423" w:name="_Toc30622624"/>
      <w:r/>
      <w:bookmarkStart w:id="1424" w:name="_Toc467144154"/>
      <w:r/>
      <w:bookmarkStart w:id="1425" w:name="_Toc9974955"/>
      <w:r/>
      <w:bookmarkStart w:id="1426" w:name="_Toc11671842"/>
      <w:r/>
      <w:bookmarkStart w:id="1427" w:name="_Toc473034387"/>
      <w:r/>
      <w:bookmarkStart w:id="1428" w:name="_Toc119597909"/>
      <w:r/>
      <w:bookmarkStart w:id="1429" w:name="_Toc54867172"/>
      <w:r/>
      <w:bookmarkStart w:id="1430" w:name="_Toc472686068"/>
      <w:r/>
      <w:bookmarkStart w:id="1431" w:name="_Toc30004165"/>
      <w:r/>
      <w:bookmarkStart w:id="1432" w:name="_Toc41327828"/>
      <w:r/>
      <w:bookmarkStart w:id="1433" w:name="_Toc499560857"/>
      <w:r>
        <w:rPr>
          <w:rFonts w:hint="eastAsia" w:ascii="宋体" w:hAnsi="宋体" w:eastAsia="宋体" w:cs="宋体"/>
          <w:b/>
          <w:sz w:val="21"/>
          <w:szCs w:val="21"/>
          <w:highlight w:val="none"/>
        </w:rPr>
        <w:t xml:space="preserve">18.3 其他保险</w:t>
      </w:r>
      <w:bookmarkEnd w:id="1423"/>
      <w:r/>
      <w:bookmarkEnd w:id="1424"/>
      <w:r/>
      <w:bookmarkEnd w:id="1425"/>
      <w:r/>
      <w:bookmarkEnd w:id="1426"/>
      <w:r/>
      <w:bookmarkEnd w:id="1427"/>
      <w:r/>
      <w:bookmarkEnd w:id="1428"/>
      <w:r/>
      <w:bookmarkEnd w:id="1429"/>
      <w:r/>
      <w:bookmarkEnd w:id="1430"/>
      <w:r/>
      <w:bookmarkEnd w:id="1431"/>
      <w:r/>
      <w:bookmarkEnd w:id="1432"/>
      <w:r/>
      <w:bookmarkEnd w:id="1433"/>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关于其他保险的约定：</w:t>
      </w:r>
      <w:r>
        <w:rPr>
          <w:rFonts w:hint="eastAsia" w:ascii="宋体" w:hAnsi="宋体" w:eastAsia="宋体" w:cs="宋体"/>
          <w:sz w:val="21"/>
          <w:szCs w:val="21"/>
          <w:highlight w:val="none"/>
          <w:u w:val="single"/>
        </w:rPr>
        <w:t xml:space="preserve">承包人自行考虑</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承包人是否应为其施工设备等办理财产保险：</w:t>
      </w:r>
      <w:r>
        <w:rPr>
          <w:rFonts w:hint="eastAsia" w:ascii="宋体" w:hAnsi="宋体" w:eastAsia="宋体" w:cs="宋体"/>
          <w:sz w:val="21"/>
          <w:szCs w:val="21"/>
          <w:highlight w:val="none"/>
          <w:u w:val="single"/>
        </w:rPr>
        <w:t xml:space="preserve">承包人自行考虑</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18.7 通知义务</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关于变更保险合同时的通知义务的约定：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bookmarkEnd w:id="1363"/>
      <w:r/>
      <w:bookmarkEnd w:id="1364"/>
      <w:r/>
      <w:bookmarkEnd w:id="1365"/>
      <w:r/>
      <w:bookmarkEnd w:id="1366"/>
      <w:r/>
      <w:bookmarkEnd w:id="1367"/>
      <w:r/>
      <w:bookmarkEnd w:id="1368"/>
      <w:r/>
      <w:bookmarkEnd w:id="1369"/>
      <w:r/>
      <w:bookmarkEnd w:id="1370"/>
      <w:r/>
      <w:bookmarkEnd w:id="1371"/>
      <w:r/>
      <w:bookmarkEnd w:id="1372"/>
      <w:r/>
      <w:bookmarkEnd w:id="1373"/>
      <w:r/>
      <w:bookmarkEnd w:id="1374"/>
      <w:r/>
      <w:r/>
    </w:p>
    <w:p>
      <w:pPr>
        <w:pStyle w:val="1341"/>
        <w:spacing w:before="0" w:after="0" w:line="440" w:lineRule="exact"/>
        <w:rPr>
          <w:rFonts w:hint="eastAsia" w:ascii="宋体" w:hAnsi="宋体" w:eastAsia="宋体" w:cs="宋体"/>
          <w:sz w:val="21"/>
          <w:szCs w:val="21"/>
          <w:highlight w:val="none"/>
        </w:rPr>
      </w:pPr>
      <w:r/>
      <w:bookmarkStart w:id="1434" w:name="_Toc351203651"/>
      <w:r>
        <w:rPr>
          <w:rFonts w:hint="eastAsia" w:ascii="宋体" w:hAnsi="宋体" w:eastAsia="宋体" w:cs="宋体"/>
          <w:sz w:val="21"/>
          <w:szCs w:val="21"/>
          <w:highlight w:val="none"/>
        </w:rPr>
        <w:t xml:space="preserve">20. 争议解决</w:t>
      </w:r>
      <w:bookmarkEnd w:id="1375"/>
      <w:r/>
      <w:bookmarkEnd w:id="1376"/>
      <w:r/>
      <w:bookmarkEnd w:id="1434"/>
      <w:r/>
      <w:r/>
    </w:p>
    <w:p>
      <w:pPr>
        <w:pStyle w:val="1342"/>
        <w:ind w:firstLine="422"/>
        <w:spacing w:line="440" w:lineRule="exact"/>
        <w:rPr>
          <w:rFonts w:hint="eastAsia" w:ascii="宋体" w:hAnsi="宋体" w:eastAsia="宋体" w:cs="宋体"/>
          <w:b/>
          <w:sz w:val="21"/>
          <w:szCs w:val="21"/>
          <w:highlight w:val="none"/>
        </w:rPr>
        <w:outlineLvl w:val="0"/>
      </w:pPr>
      <w:r/>
      <w:bookmarkStart w:id="1435" w:name="_Toc9974956"/>
      <w:r/>
      <w:bookmarkStart w:id="1436" w:name="_Toc41327829"/>
      <w:r/>
      <w:bookmarkStart w:id="1437" w:name="_Toc54867173"/>
      <w:r/>
      <w:bookmarkStart w:id="1438" w:name="_Toc473034388"/>
      <w:r/>
      <w:bookmarkStart w:id="1439" w:name="_Toc499560858"/>
      <w:r/>
      <w:bookmarkStart w:id="1440" w:name="_Toc30622625"/>
      <w:r/>
      <w:bookmarkStart w:id="1441" w:name="_Toc119597910"/>
      <w:r/>
      <w:bookmarkStart w:id="1442" w:name="_Toc467144155"/>
      <w:r/>
      <w:bookmarkStart w:id="1443" w:name="_Toc30004166"/>
      <w:r/>
      <w:bookmarkStart w:id="1444" w:name="_Toc472686069"/>
      <w:r/>
      <w:bookmarkStart w:id="1445" w:name="_Toc11671843"/>
      <w:r>
        <w:rPr>
          <w:rFonts w:hint="eastAsia" w:ascii="宋体" w:hAnsi="宋体" w:eastAsia="宋体" w:cs="宋体"/>
          <w:b/>
          <w:sz w:val="21"/>
          <w:szCs w:val="21"/>
          <w:highlight w:val="none"/>
        </w:rPr>
        <w:t xml:space="preserve">20.3 争</w:t>
      </w:r>
      <w:bookmarkEnd w:id="1377"/>
      <w:r>
        <w:rPr>
          <w:rFonts w:hint="eastAsia" w:ascii="宋体" w:hAnsi="宋体" w:eastAsia="宋体" w:cs="宋体"/>
          <w:b/>
          <w:sz w:val="21"/>
          <w:szCs w:val="21"/>
          <w:highlight w:val="none"/>
        </w:rPr>
        <w:t xml:space="preserve">议评审</w:t>
      </w:r>
      <w:bookmarkEnd w:id="1435"/>
      <w:r/>
      <w:bookmarkEnd w:id="1436"/>
      <w:r/>
      <w:bookmarkEnd w:id="1437"/>
      <w:r/>
      <w:bookmarkEnd w:id="1438"/>
      <w:r/>
      <w:bookmarkEnd w:id="1439"/>
      <w:r/>
      <w:bookmarkEnd w:id="1440"/>
      <w:r/>
      <w:bookmarkEnd w:id="1441"/>
      <w:r/>
      <w:bookmarkEnd w:id="1442"/>
      <w:r/>
      <w:bookmarkEnd w:id="1443"/>
      <w:r/>
      <w:bookmarkEnd w:id="1444"/>
      <w:r/>
      <w:bookmarkEnd w:id="1445"/>
      <w:r/>
      <w:r/>
    </w:p>
    <w:p>
      <w:pPr>
        <w:pStyle w:val="1342"/>
        <w:ind w:left="149" w:firstLine="315"/>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合同当事人是否同意将工程争议提交争议评审小组决定：</w:t>
      </w:r>
      <w:r>
        <w:rPr>
          <w:rFonts w:hint="eastAsia" w:ascii="宋体" w:hAnsi="宋体" w:eastAsia="宋体" w:cs="宋体"/>
          <w:sz w:val="21"/>
          <w:szCs w:val="21"/>
          <w:highlight w:val="none"/>
          <w:u w:val="single"/>
        </w:rPr>
        <w:t xml:space="preserve"> 同意 </w:t>
      </w:r>
      <w:r>
        <w:rPr>
          <w:rFonts w:hint="eastAsia" w:ascii="宋体" w:hAnsi="宋体" w:eastAsia="宋体" w:cs="宋体"/>
          <w:sz w:val="21"/>
          <w:szCs w:val="21"/>
          <w:highlight w:val="none"/>
        </w:rPr>
        <w:t xml:space="preserve">。  </w:t>
      </w:r>
      <w:r/>
    </w:p>
    <w:p>
      <w:pPr>
        <w:pStyle w:val="1342"/>
        <w:ind w:firstLine="420"/>
        <w:jc w:val="left"/>
        <w:spacing w:line="440" w:lineRule="exact"/>
        <w:rPr>
          <w:rFonts w:hint="eastAsia" w:ascii="宋体" w:hAnsi="宋体" w:eastAsia="宋体" w:cs="宋体"/>
          <w:sz w:val="21"/>
          <w:szCs w:val="21"/>
          <w:highlight w:val="none"/>
        </w:rPr>
        <w:outlineLvl w:val="0"/>
      </w:pPr>
      <w:r/>
      <w:bookmarkStart w:id="1446" w:name="_Toc473034389"/>
      <w:r/>
      <w:bookmarkStart w:id="1447" w:name="_Toc41327830"/>
      <w:r/>
      <w:bookmarkStart w:id="1448" w:name="_Toc30004167"/>
      <w:r/>
      <w:bookmarkStart w:id="1449" w:name="_Toc467144156"/>
      <w:r/>
      <w:bookmarkStart w:id="1450" w:name="_Toc499560859"/>
      <w:r/>
      <w:bookmarkStart w:id="1451" w:name="_Toc119597911"/>
      <w:r/>
      <w:bookmarkStart w:id="1452" w:name="_Toc11671844"/>
      <w:r/>
      <w:bookmarkStart w:id="1453" w:name="_Toc30622626"/>
      <w:r/>
      <w:bookmarkStart w:id="1454" w:name="_Toc9974957"/>
      <w:r/>
      <w:bookmarkStart w:id="1455" w:name="_Toc54867174"/>
      <w:r/>
      <w:bookmarkStart w:id="1456" w:name="_Toc472686070"/>
      <w:r>
        <w:rPr>
          <w:rFonts w:hint="eastAsia" w:ascii="宋体" w:hAnsi="宋体" w:eastAsia="宋体" w:cs="宋体"/>
          <w:sz w:val="21"/>
          <w:szCs w:val="21"/>
          <w:highlight w:val="none"/>
        </w:rPr>
        <w:t xml:space="preserve">20.3.1 争议评审小组的确定</w:t>
      </w:r>
      <w:bookmarkEnd w:id="1446"/>
      <w:r/>
      <w:bookmarkEnd w:id="1447"/>
      <w:r/>
      <w:bookmarkEnd w:id="1448"/>
      <w:r/>
      <w:bookmarkEnd w:id="1449"/>
      <w:r/>
      <w:bookmarkEnd w:id="1450"/>
      <w:r/>
      <w:bookmarkEnd w:id="1451"/>
      <w:r/>
      <w:bookmarkEnd w:id="1452"/>
      <w:r/>
      <w:bookmarkEnd w:id="1453"/>
      <w:r/>
      <w:bookmarkEnd w:id="1454"/>
      <w:r/>
      <w:bookmarkEnd w:id="1455"/>
      <w:r/>
      <w:bookmarkEnd w:id="1456"/>
      <w:r/>
      <w:r/>
    </w:p>
    <w:p>
      <w:pPr>
        <w:pStyle w:val="1342"/>
        <w:ind w:firstLine="420"/>
        <w:jc w:val="left"/>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争议评审小组成员的确定：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选定争议评审员的期限：</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争议评审小组成员的报酬承担方式：</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其他事项的约定：</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rPr>
        <w:t xml:space="preserve">。</w:t>
      </w:r>
      <w:r/>
    </w:p>
    <w:p>
      <w:pPr>
        <w:pStyle w:val="1342"/>
        <w:ind w:firstLine="420"/>
        <w:jc w:val="left"/>
        <w:spacing w:line="440" w:lineRule="exact"/>
        <w:rPr>
          <w:rFonts w:hint="eastAsia" w:ascii="宋体" w:hAnsi="宋体" w:eastAsia="宋体" w:cs="宋体"/>
          <w:sz w:val="21"/>
          <w:szCs w:val="21"/>
          <w:highlight w:val="none"/>
        </w:rPr>
        <w:outlineLvl w:val="0"/>
      </w:pPr>
      <w:r/>
      <w:bookmarkStart w:id="1457" w:name="_Toc473034390"/>
      <w:r/>
      <w:bookmarkStart w:id="1458" w:name="_Toc119597912"/>
      <w:r/>
      <w:bookmarkStart w:id="1459" w:name="_Toc54867175"/>
      <w:r/>
      <w:bookmarkStart w:id="1460" w:name="_Toc30004168"/>
      <w:r/>
      <w:bookmarkStart w:id="1461" w:name="_Toc472686071"/>
      <w:r/>
      <w:bookmarkStart w:id="1462" w:name="_Toc30622627"/>
      <w:r/>
      <w:bookmarkStart w:id="1463" w:name="_Toc9974958"/>
      <w:r/>
      <w:bookmarkStart w:id="1464" w:name="_Toc41327831"/>
      <w:r/>
      <w:bookmarkStart w:id="1465" w:name="_Toc467144157"/>
      <w:r/>
      <w:bookmarkStart w:id="1466" w:name="_Toc499560860"/>
      <w:r/>
      <w:bookmarkStart w:id="1467" w:name="_Toc11671845"/>
      <w:r>
        <w:rPr>
          <w:rFonts w:hint="eastAsia" w:ascii="宋体" w:hAnsi="宋体" w:eastAsia="宋体" w:cs="宋体"/>
          <w:sz w:val="21"/>
          <w:szCs w:val="21"/>
          <w:highlight w:val="none"/>
        </w:rPr>
        <w:t xml:space="preserve">20.3.2 争议评审小组的决定</w:t>
      </w:r>
      <w:bookmarkEnd w:id="1457"/>
      <w:r/>
      <w:bookmarkEnd w:id="1458"/>
      <w:r/>
      <w:bookmarkEnd w:id="1459"/>
      <w:r/>
      <w:bookmarkEnd w:id="1460"/>
      <w:r/>
      <w:bookmarkEnd w:id="1461"/>
      <w:r/>
      <w:bookmarkEnd w:id="1462"/>
      <w:r/>
      <w:bookmarkEnd w:id="1463"/>
      <w:r/>
      <w:bookmarkEnd w:id="1464"/>
      <w:r/>
      <w:bookmarkEnd w:id="1465"/>
      <w:r/>
      <w:bookmarkEnd w:id="1466"/>
      <w:r/>
      <w:bookmarkEnd w:id="1467"/>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合同当事人关于本项的约定：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sz w:val="21"/>
          <w:szCs w:val="21"/>
          <w:highlight w:val="none"/>
        </w:rPr>
        <w:t xml:space="preserve">。</w:t>
      </w:r>
      <w:r/>
    </w:p>
    <w:p>
      <w:pPr>
        <w:pStyle w:val="1342"/>
        <w:ind w:firstLine="422"/>
        <w:spacing w:line="440" w:lineRule="exact"/>
        <w:rPr>
          <w:rFonts w:hint="eastAsia" w:ascii="宋体" w:hAnsi="宋体" w:eastAsia="宋体" w:cs="宋体"/>
          <w:b/>
          <w:sz w:val="21"/>
          <w:szCs w:val="21"/>
          <w:highlight w:val="none"/>
        </w:rPr>
        <w:outlineLvl w:val="0"/>
      </w:pPr>
      <w:r/>
      <w:bookmarkStart w:id="1468" w:name="_Toc119597913"/>
      <w:r/>
      <w:bookmarkStart w:id="1469" w:name="_Toc11671846"/>
      <w:r/>
      <w:bookmarkStart w:id="1470" w:name="_Toc41327832"/>
      <w:r/>
      <w:bookmarkStart w:id="1471" w:name="_Toc467144158"/>
      <w:r/>
      <w:bookmarkStart w:id="1472" w:name="_Toc30622628"/>
      <w:r/>
      <w:bookmarkStart w:id="1473" w:name="_Toc9974959"/>
      <w:r/>
      <w:bookmarkStart w:id="1474" w:name="_Toc30004169"/>
      <w:r/>
      <w:bookmarkStart w:id="1475" w:name="_Toc472686072"/>
      <w:r/>
      <w:bookmarkStart w:id="1476" w:name="_Toc473034391"/>
      <w:r/>
      <w:bookmarkStart w:id="1477" w:name="_Toc499560861"/>
      <w:r/>
      <w:bookmarkStart w:id="1478" w:name="_Toc54867176"/>
      <w:r>
        <w:rPr>
          <w:rFonts w:hint="eastAsia" w:ascii="宋体" w:hAnsi="宋体" w:eastAsia="宋体" w:cs="宋体"/>
          <w:b/>
          <w:sz w:val="21"/>
          <w:szCs w:val="21"/>
          <w:highlight w:val="none"/>
        </w:rPr>
        <w:t xml:space="preserve">20.4仲裁或诉讼</w:t>
      </w:r>
      <w:bookmarkEnd w:id="1378"/>
      <w:r/>
      <w:bookmarkEnd w:id="1468"/>
      <w:r/>
      <w:bookmarkEnd w:id="1469"/>
      <w:r/>
      <w:bookmarkEnd w:id="1470"/>
      <w:r/>
      <w:bookmarkEnd w:id="1471"/>
      <w:r/>
      <w:bookmarkEnd w:id="1472"/>
      <w:r/>
      <w:bookmarkEnd w:id="1473"/>
      <w:r/>
      <w:bookmarkEnd w:id="1474"/>
      <w:r/>
      <w:bookmarkEnd w:id="1475"/>
      <w:r/>
      <w:bookmarkEnd w:id="1476"/>
      <w:r/>
      <w:bookmarkEnd w:id="1477"/>
      <w:r/>
      <w:bookmarkEnd w:id="1478"/>
      <w:r/>
      <w:r/>
    </w:p>
    <w:p>
      <w:pPr>
        <w:pStyle w:val="134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因合同及合同有关事项发生的争议，按下列第</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种方式解决：</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（1）向</w:t>
      </w:r>
      <w:r>
        <w:rPr>
          <w:rFonts w:hint="eastAsia" w:ascii="宋体" w:hAnsi="宋体" w:cs="宋体"/>
          <w:sz w:val="21"/>
          <w:szCs w:val="21"/>
          <w:highlight w:val="none"/>
          <w:u w:val="single"/>
          <w:lang w:eastAsia="zh-CN"/>
        </w:rPr>
        <w:t xml:space="preserve">泰州</w:t>
      </w:r>
      <w:r>
        <w:rPr>
          <w:rFonts w:hint="eastAsia" w:ascii="宋体" w:hAnsi="宋体" w:eastAsia="宋体" w:cs="宋体"/>
          <w:sz w:val="21"/>
          <w:szCs w:val="21"/>
          <w:highlight w:val="none"/>
        </w:rPr>
        <w:t xml:space="preserve">仲裁委员会申请仲裁；</w:t>
      </w:r>
      <w:r/>
    </w:p>
    <w:p>
      <w:pPr>
        <w:pStyle w:val="1342"/>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（2）向</w:t>
      </w:r>
      <w:r>
        <w:rPr>
          <w:rFonts w:hint="eastAsia" w:ascii="宋体" w:hAnsi="宋体" w:eastAsia="宋体" w:cs="宋体"/>
          <w:sz w:val="21"/>
          <w:szCs w:val="21"/>
          <w:highlight w:val="none"/>
          <w:u w:val="single"/>
        </w:rPr>
        <w:t xml:space="preserve">泰兴市</w:t>
      </w:r>
      <w:r>
        <w:rPr>
          <w:rFonts w:hint="eastAsia" w:ascii="宋体" w:hAnsi="宋体" w:eastAsia="宋体" w:cs="宋体"/>
          <w:sz w:val="21"/>
          <w:szCs w:val="21"/>
          <w:highlight w:val="none"/>
        </w:rPr>
        <w:t xml:space="preserve">人民法院起诉。</w:t>
      </w:r>
      <w:bookmarkEnd w:id="1379"/>
      <w:r/>
      <w:bookmarkEnd w:id="1380"/>
      <w:r/>
      <w:bookmarkEnd w:id="1381"/>
      <w:r/>
      <w:bookmarkEnd w:id="1382"/>
      <w:r/>
      <w:bookmarkEnd w:id="1383"/>
      <w:r/>
      <w:bookmarkEnd w:id="1384"/>
      <w:r/>
      <w:r/>
    </w:p>
    <w:p>
      <w:pPr>
        <w:pStyle w:val="1188"/>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合同补充条款：</w:t>
      </w:r>
      <w:r/>
    </w:p>
    <w:p>
      <w:pPr>
        <w:pStyle w:val="1328"/>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1、实际开工日期以开工报告为准，非发包方原因造成的工期延误，工程造价在遇到国家、省、市等政策性调减时，按实调减；在遇到政策性调增时，一律不执行调增。</w:t>
      </w:r>
      <w:r/>
    </w:p>
    <w:p>
      <w:pPr>
        <w:pStyle w:val="1328"/>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2、承包人负责处理施工中非发包人因素可能发生的地方矛盾，并且不产生费用索赔。</w:t>
      </w:r>
      <w:r/>
    </w:p>
    <w:p>
      <w:pPr>
        <w:pStyle w:val="1328"/>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3、承包人的项目负责人与投标时不一致，又未经发包人同意更换，则发包人可自行终止施工合同并没收履约保证金，并保留进一步追究其责任的权利。</w:t>
      </w:r>
      <w:r/>
    </w:p>
    <w:p>
      <w:pPr>
        <w:pStyle w:val="1328"/>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承包人在合同备案时的项目部组成人员必须驻现场组织施工，如有变更须经发包人同意，否则，若发包人抽查发现不在现场计5000元/次的罚款。项目负责人每周必须在现场工作不少于5个日历天，且不少于40个小时，若不能满足，则按 3.2.1 对中标单位进行相应的处罚。</w:t>
      </w:r>
      <w:r/>
    </w:p>
    <w:p>
      <w:pPr>
        <w:pStyle w:val="1328"/>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5、工程预验收一个月内必须进行竣工验收，工程竣工验收合格一个月内报送结算资料，结算资料内必须包含工程前后影像资料。如因承包人自身原因造成延迟竣工验收和决算资料延期报送，一切后果由承包人自行负责。</w:t>
      </w:r>
      <w:r/>
    </w:p>
    <w:p>
      <w:pPr>
        <w:pStyle w:val="1328"/>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6、在施工中凡是有厚度或深度要求的分项工程，若厚度或深度符合设计和质量验收规范标准的，按设计结算；当厚度或深度不能满足设计和质量验收规范标准的，但经验算后，满足使用功能的，对该部分分项工程总价再扣减30%结算，质量验算不合格的，则返工处理或采取补强措施处理，一律不予计量并结算。</w:t>
      </w:r>
      <w:r/>
    </w:p>
    <w:p>
      <w:pPr>
        <w:pStyle w:val="1328"/>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7、在工程实施过程中，承包人必须完全服从发包人根据现场实际情况，提出的增加或减少工程量，其价格参照综合单价的调整方式。</w:t>
      </w:r>
      <w:r/>
    </w:p>
    <w:p>
      <w:pPr>
        <w:pStyle w:val="1328"/>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8、工程中发生的变更以及工程量的增减所产生的造价均按中标下浮率同比下浮。</w:t>
      </w:r>
      <w:r/>
    </w:p>
    <w:p>
      <w:pPr>
        <w:pStyle w:val="1328"/>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9、承包人严格把好材料关、工序关等，确保工程质量、安全等。</w:t>
      </w:r>
      <w:r/>
    </w:p>
    <w:p>
      <w:pPr>
        <w:pStyle w:val="1328"/>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10、施工过程中将严格执行泰政规(2010)5号文《泰兴市政府投资工程项目标后监督管理办法（试行）》的相关规定。</w:t>
      </w:r>
      <w:r/>
    </w:p>
    <w:p>
      <w:pPr>
        <w:pStyle w:val="1328"/>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11、中标单位进场材料未按招标文件、项目特征等相关的要求进场，建设单位有权要求施工单位清退，拒不执行的，建设单位有权没收并处以所进场材料价格30%的罚款，罚款金额在工程款中直接扣除。</w:t>
      </w:r>
      <w:r/>
    </w:p>
    <w:p>
      <w:pPr>
        <w:pStyle w:val="1328"/>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12、因本合同中所述产生的的经济处罚将由招标人直接在工程款中直接扣除。</w:t>
      </w:r>
      <w:r/>
    </w:p>
    <w:p>
      <w:pPr>
        <w:pStyle w:val="1328"/>
        <w:ind w:firstLine="315"/>
        <w:spacing w:line="44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13、承包人总部必须大力支持，确保本工程按期保质顺利完成。</w:t>
      </w:r>
      <w:bookmarkEnd w:id="597"/>
      <w:r/>
      <w:bookmarkEnd w:id="598"/>
      <w:r/>
      <w:bookmarkEnd w:id="599"/>
      <w:r/>
      <w:r/>
    </w:p>
    <w:p>
      <w:pPr>
        <w:pStyle w:val="873"/>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p>
      <w:pPr>
        <w:pStyle w:val="1329"/>
        <w:ind w:firstLine="360"/>
        <w:jc w:val="left"/>
        <w:spacing w:line="360" w:lineRule="auto"/>
        <w:rPr>
          <w:rFonts w:hint="eastAsia" w:ascii="宋体" w:hAnsi="宋体" w:eastAsia="宋体" w:cs="宋体"/>
          <w:sz w:val="21"/>
          <w:szCs w:val="21"/>
          <w:highlight w:val="none"/>
        </w:rPr>
      </w:pPr>
      <w:r>
        <w:rPr>
          <w:rFonts w:hint="eastAsia" w:ascii="宋体" w:hAnsi="宋体" w:eastAsia="宋体" w:cs="宋体"/>
          <w:highlight w:val="none"/>
        </w:rPr>
        <w:br w:type="page" w:clear="all"/>
      </w:r>
      <w:r>
        <w:rPr>
          <w:rFonts w:hint="eastAsia" w:ascii="宋体" w:hAnsi="宋体" w:eastAsia="宋体" w:cs="宋体"/>
          <w:b/>
          <w:highlight w:val="none"/>
        </w:rPr>
        <w:t xml:space="preserve">附件</w:t>
      </w:r>
      <w:r/>
    </w:p>
    <w:p>
      <w:pPr>
        <w:pStyle w:val="1329"/>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协议书附件：</w:t>
      </w:r>
      <w:r/>
    </w:p>
    <w:p>
      <w:pPr>
        <w:pStyle w:val="1329"/>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附件1：承包人承揽工程项目一览表</w:t>
      </w:r>
      <w:r/>
    </w:p>
    <w:p>
      <w:pPr>
        <w:pStyle w:val="1329"/>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专用合同条款附件：</w:t>
      </w:r>
      <w:r/>
    </w:p>
    <w:p>
      <w:pPr>
        <w:pStyle w:val="1329"/>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附件2：发包人供应材料设备一览表</w:t>
      </w:r>
      <w:r/>
    </w:p>
    <w:p>
      <w:pPr>
        <w:pStyle w:val="1329"/>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附件3：工程质量保修书</w:t>
      </w:r>
      <w:r/>
    </w:p>
    <w:p>
      <w:pPr>
        <w:pStyle w:val="1329"/>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附件4：主要建设工程文件目录</w:t>
      </w:r>
      <w:r/>
    </w:p>
    <w:p>
      <w:pPr>
        <w:pStyle w:val="1329"/>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附件5：承包人用于本工程施工的机械设备表</w:t>
      </w:r>
      <w:r/>
    </w:p>
    <w:p>
      <w:pPr>
        <w:pStyle w:val="1329"/>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附件6：承包人主要施工管理人员表</w:t>
      </w:r>
      <w:r/>
    </w:p>
    <w:p>
      <w:pPr>
        <w:pStyle w:val="1329"/>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附件7：分包人主要施工管理人员表</w:t>
      </w:r>
      <w:r/>
    </w:p>
    <w:p>
      <w:pPr>
        <w:pStyle w:val="1329"/>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附件8：履约担保格式</w:t>
      </w:r>
      <w:r/>
    </w:p>
    <w:p>
      <w:pPr>
        <w:pStyle w:val="1329"/>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附件9：预付款担保格式</w:t>
      </w:r>
      <w:r/>
    </w:p>
    <w:p>
      <w:pPr>
        <w:pStyle w:val="1329"/>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附件10：支付担保格式</w:t>
      </w:r>
      <w:r/>
    </w:p>
    <w:p>
      <w:pPr>
        <w:pStyle w:val="1329"/>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附件11：暂估价一览表</w:t>
      </w:r>
      <w:r/>
    </w:p>
    <w:p>
      <w:pPr>
        <w:pStyle w:val="1329"/>
        <w:jc w:val="left"/>
        <w:spacing w:before="156" w:after="156" w:line="440" w:lineRule="exact"/>
        <w:rPr>
          <w:rFonts w:hint="eastAsia" w:ascii="宋体" w:hAnsi="宋体" w:eastAsia="宋体" w:cs="宋体"/>
          <w:sz w:val="21"/>
          <w:szCs w:val="21"/>
          <w:highlight w:val="none"/>
        </w:rPr>
      </w:pPr>
      <w:r>
        <w:rPr>
          <w:rFonts w:hint="eastAsia" w:ascii="宋体" w:hAnsi="宋体" w:eastAsia="宋体" w:cs="宋体"/>
          <w:sz w:val="30"/>
          <w:szCs w:val="30"/>
          <w:highlight w:val="none"/>
        </w:rPr>
        <w:br w:type="page" w:clear="all"/>
      </w:r>
      <w:r>
        <w:rPr>
          <w:rFonts w:hint="eastAsia" w:ascii="宋体" w:hAnsi="宋体" w:eastAsia="宋体" w:cs="宋体"/>
          <w:sz w:val="21"/>
          <w:szCs w:val="21"/>
          <w:highlight w:val="none"/>
        </w:rPr>
        <w:t xml:space="preserve">附件1：</w:t>
      </w:r>
      <w:r/>
    </w:p>
    <w:p>
      <w:pPr>
        <w:pStyle w:val="1343"/>
        <w:jc w:val="center"/>
        <w:spacing w:before="156" w:after="156"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承包人承揽工程项目一览表</w:t>
      </w:r>
      <w:r/>
    </w:p>
    <w:tbl>
      <w:tblPr>
        <w:tblStyle w:val="88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78"/>
        <w:gridCol w:w="1123"/>
        <w:gridCol w:w="1020"/>
        <w:gridCol w:w="1315"/>
        <w:gridCol w:w="518"/>
        <w:gridCol w:w="951"/>
        <w:gridCol w:w="1132"/>
        <w:gridCol w:w="1027"/>
        <w:gridCol w:w="518"/>
        <w:gridCol w:w="518"/>
      </w:tblGrid>
      <w:tr>
        <w:trPr/>
        <w:tc>
          <w:tcPr>
            <w:tcBorders>
              <w:top w:val="single" w:color="auto" w:sz="12" w:space="0"/>
              <w:bottom w:val="single" w:color="auto" w:sz="6" w:space="0"/>
            </w:tcBorders>
            <w:tcW w:w="437" w:type="pct"/>
            <w:vAlign w:val="center"/>
            <w:textDirection w:val="lrTb"/>
            <w:noWrap w:val="false"/>
          </w:tcPr>
          <w:p>
            <w:pPr>
              <w:pStyle w:val="1344"/>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单位工程名称</w:t>
            </w:r>
            <w:r/>
          </w:p>
        </w:tc>
        <w:tc>
          <w:tcPr>
            <w:tcBorders>
              <w:top w:val="single" w:color="auto" w:sz="12" w:space="0"/>
              <w:bottom w:val="single" w:color="auto" w:sz="6" w:space="0"/>
            </w:tcBorders>
            <w:tcW w:w="631" w:type="pct"/>
            <w:vAlign w:val="center"/>
            <w:textDirection w:val="lrTb"/>
            <w:noWrap w:val="false"/>
          </w:tcPr>
          <w:p>
            <w:pPr>
              <w:pStyle w:val="1344"/>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建设规模</w:t>
            </w:r>
            <w:r/>
          </w:p>
        </w:tc>
        <w:tc>
          <w:tcPr>
            <w:tcBorders>
              <w:top w:val="single" w:color="auto" w:sz="12" w:space="0"/>
              <w:bottom w:val="single" w:color="auto" w:sz="6" w:space="0"/>
            </w:tcBorders>
            <w:tcW w:w="573" w:type="pct"/>
            <w:vAlign w:val="center"/>
            <w:textDirection w:val="lrTb"/>
            <w:noWrap w:val="false"/>
          </w:tcPr>
          <w:p>
            <w:pPr>
              <w:pStyle w:val="1344"/>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建筑面积(平方米)</w:t>
            </w:r>
            <w:r/>
          </w:p>
        </w:tc>
        <w:tc>
          <w:tcPr>
            <w:tcBorders>
              <w:top w:val="single" w:color="auto" w:sz="12" w:space="0"/>
              <w:bottom w:val="single" w:color="auto" w:sz="6" w:space="0"/>
            </w:tcBorders>
            <w:tcW w:w="739" w:type="pct"/>
            <w:vAlign w:val="center"/>
            <w:textDirection w:val="lrTb"/>
            <w:noWrap w:val="false"/>
          </w:tcPr>
          <w:p>
            <w:pPr>
              <w:pStyle w:val="1344"/>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结构形式</w:t>
            </w:r>
            <w:r/>
          </w:p>
        </w:tc>
        <w:tc>
          <w:tcPr>
            <w:tcBorders>
              <w:top w:val="single" w:color="auto" w:sz="12" w:space="0"/>
              <w:bottom w:val="single" w:color="auto" w:sz="6" w:space="0"/>
            </w:tcBorders>
            <w:tcW w:w="291" w:type="pct"/>
            <w:vAlign w:val="center"/>
            <w:textDirection w:val="lrTb"/>
            <w:noWrap w:val="false"/>
          </w:tcPr>
          <w:p>
            <w:pPr>
              <w:pStyle w:val="1344"/>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层数</w:t>
            </w:r>
            <w:r/>
          </w:p>
        </w:tc>
        <w:tc>
          <w:tcPr>
            <w:tcBorders>
              <w:top w:val="single" w:color="auto" w:sz="12" w:space="0"/>
              <w:bottom w:val="single" w:color="auto" w:sz="6" w:space="0"/>
            </w:tcBorders>
            <w:tcW w:w="534" w:type="pct"/>
            <w:vAlign w:val="center"/>
            <w:textDirection w:val="lrTb"/>
            <w:noWrap w:val="false"/>
          </w:tcPr>
          <w:p>
            <w:pPr>
              <w:pStyle w:val="1344"/>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生产</w:t>
            </w:r>
            <w:r/>
          </w:p>
          <w:p>
            <w:pPr>
              <w:pStyle w:val="1344"/>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能力</w:t>
            </w:r>
            <w:r/>
          </w:p>
        </w:tc>
        <w:tc>
          <w:tcPr>
            <w:tcBorders>
              <w:top w:val="single" w:color="auto" w:sz="12" w:space="0"/>
              <w:bottom w:val="single" w:color="auto" w:sz="6" w:space="0"/>
            </w:tcBorders>
            <w:tcW w:w="636" w:type="pct"/>
            <w:vAlign w:val="center"/>
            <w:textDirection w:val="lrTb"/>
            <w:noWrap w:val="false"/>
          </w:tcPr>
          <w:p>
            <w:pPr>
              <w:pStyle w:val="1344"/>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设备安装</w:t>
            </w:r>
            <w:r/>
          </w:p>
          <w:p>
            <w:pPr>
              <w:pStyle w:val="1344"/>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w:t>
            </w:r>
            <w:r/>
          </w:p>
        </w:tc>
        <w:tc>
          <w:tcPr>
            <w:tcBorders>
              <w:top w:val="single" w:color="auto" w:sz="12" w:space="0"/>
              <w:bottom w:val="single" w:color="auto" w:sz="6" w:space="0"/>
            </w:tcBorders>
            <w:tcW w:w="577" w:type="pct"/>
            <w:vAlign w:val="center"/>
            <w:textDirection w:val="lrTb"/>
            <w:noWrap w:val="false"/>
          </w:tcPr>
          <w:p>
            <w:pPr>
              <w:pStyle w:val="1344"/>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合同价格（元）</w:t>
            </w:r>
            <w:r/>
          </w:p>
        </w:tc>
        <w:tc>
          <w:tcPr>
            <w:tcBorders>
              <w:top w:val="single" w:color="auto" w:sz="12" w:space="0"/>
              <w:bottom w:val="single" w:color="auto" w:sz="6" w:space="0"/>
            </w:tcBorders>
            <w:tcW w:w="291" w:type="pct"/>
            <w:vAlign w:val="center"/>
            <w:textDirection w:val="lrTb"/>
            <w:noWrap w:val="false"/>
          </w:tcPr>
          <w:p>
            <w:pPr>
              <w:pStyle w:val="1344"/>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开工日期</w:t>
            </w:r>
            <w:r/>
          </w:p>
        </w:tc>
        <w:tc>
          <w:tcPr>
            <w:tcBorders>
              <w:top w:val="single" w:color="auto" w:sz="12" w:space="0"/>
              <w:bottom w:val="single" w:color="auto" w:sz="6" w:space="0"/>
            </w:tcBorders>
            <w:tcW w:w="291" w:type="pct"/>
            <w:vAlign w:val="center"/>
            <w:textDirection w:val="lrTb"/>
            <w:noWrap w:val="false"/>
          </w:tcPr>
          <w:p>
            <w:pPr>
              <w:pStyle w:val="1344"/>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竣工日期</w:t>
            </w:r>
            <w:r/>
          </w:p>
        </w:tc>
      </w:tr>
      <w:tr>
        <w:trPr>
          <w:trHeight w:val="567"/>
        </w:trPr>
        <w:tc>
          <w:tcPr>
            <w:tcBorders>
              <w:top w:val="single" w:color="auto" w:sz="6" w:space="0"/>
              <w:bottom w:val="single" w:color="auto" w:sz="6" w:space="0"/>
            </w:tcBorders>
            <w:tcW w:w="437"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63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573"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739"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534"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636"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577"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Borders>
              <w:top w:val="none" w:color="000000" w:sz="4" w:space="0"/>
            </w:tcBorders>
            <w:tcW w:w="437"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3"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739"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34"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6"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7"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Borders>
              <w:top w:val="none" w:color="000000" w:sz="4" w:space="0"/>
            </w:tcBorders>
            <w:tcW w:w="437"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3"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739"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34"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6"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7"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437"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3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73"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9"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34"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36"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77"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Borders>
              <w:top w:val="none" w:color="000000" w:sz="4" w:space="0"/>
            </w:tcBorders>
            <w:tcW w:w="437"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3"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739"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34"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6"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7"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437"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3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73"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9"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34"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36"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77"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Borders>
              <w:top w:val="none" w:color="000000" w:sz="4" w:space="0"/>
            </w:tcBorders>
            <w:tcW w:w="437"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3"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739"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34"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6"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7"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Borders>
              <w:top w:val="none" w:color="000000" w:sz="4" w:space="0"/>
            </w:tcBorders>
            <w:tcW w:w="437"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3"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739"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34"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6"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7"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437"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3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73"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9"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34"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36"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77"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Borders>
              <w:top w:val="none" w:color="000000" w:sz="4" w:space="0"/>
            </w:tcBorders>
            <w:tcW w:w="437"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3"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739"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34"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636"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577"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437"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3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73"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9"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34"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36"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77"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1" w:type="pct"/>
            <w:vAlign w:val="center"/>
            <w:textDirection w:val="lrTb"/>
            <w:noWrap w:val="false"/>
          </w:tcPr>
          <w:p>
            <w:pPr>
              <w:pStyle w:val="1344"/>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343"/>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1329"/>
        <w:spacing w:line="440" w:lineRule="exact"/>
        <w:rPr>
          <w:rFonts w:hint="eastAsia" w:ascii="宋体" w:hAnsi="宋体" w:eastAsia="宋体" w:cs="宋体"/>
          <w:sz w:val="21"/>
          <w:szCs w:val="21"/>
          <w:highlight w:val="none"/>
        </w:rPr>
      </w:pPr>
      <w:r>
        <w:rPr>
          <w:rFonts w:hint="eastAsia" w:ascii="宋体" w:hAnsi="宋体" w:eastAsia="宋体" w:cs="宋体"/>
          <w:sz w:val="30"/>
          <w:szCs w:val="30"/>
          <w:highlight w:val="none"/>
        </w:rPr>
        <w:br w:type="page" w:clear="all"/>
      </w:r>
      <w:r>
        <w:rPr>
          <w:rFonts w:hint="eastAsia" w:ascii="宋体" w:hAnsi="宋体" w:eastAsia="宋体" w:cs="宋体"/>
          <w:sz w:val="21"/>
          <w:szCs w:val="21"/>
          <w:highlight w:val="none"/>
        </w:rPr>
        <w:t xml:space="preserve">附件2：</w:t>
      </w:r>
      <w:r/>
    </w:p>
    <w:p>
      <w:pPr>
        <w:pStyle w:val="1329"/>
        <w:jc w:val="center"/>
        <w:spacing w:before="156" w:after="156" w:line="440" w:lineRule="exact"/>
        <w:rPr>
          <w:rFonts w:hint="eastAsia" w:ascii="宋体" w:hAnsi="宋体" w:eastAsia="宋体" w:cs="宋体"/>
          <w:b/>
          <w:highlight w:val="none"/>
        </w:rPr>
      </w:pPr>
      <w:r>
        <w:rPr>
          <w:rFonts w:hint="eastAsia" w:ascii="宋体" w:hAnsi="宋体" w:eastAsia="宋体" w:cs="宋体"/>
          <w:b/>
          <w:highlight w:val="none"/>
        </w:rPr>
        <w:t xml:space="preserve">发包人供应材料设备一览表</w:t>
      </w:r>
      <w:r/>
    </w:p>
    <w:tbl>
      <w:tblPr>
        <w:tblStyle w:val="881"/>
        <w:tblW w:w="907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21"/>
        <w:gridCol w:w="1082"/>
        <w:gridCol w:w="1203"/>
        <w:gridCol w:w="797"/>
        <w:gridCol w:w="721"/>
        <w:gridCol w:w="885"/>
        <w:gridCol w:w="841"/>
        <w:gridCol w:w="721"/>
        <w:gridCol w:w="1262"/>
        <w:gridCol w:w="841"/>
      </w:tblGrid>
      <w:tr>
        <w:trPr>
          <w:trHeight w:val="944"/>
        </w:trPr>
        <w:tc>
          <w:tcPr>
            <w:tcBorders>
              <w:top w:val="single" w:color="auto" w:sz="12" w:space="0"/>
              <w:bottom w:val="single" w:color="auto" w:sz="6" w:space="0"/>
            </w:tcBorders>
            <w:tcW w:w="721"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12" w:space="0"/>
              <w:bottom w:val="single" w:color="auto" w:sz="6" w:space="0"/>
            </w:tcBorders>
            <w:tcW w:w="1082"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材料、</w:t>
            </w:r>
            <w:r/>
          </w:p>
          <w:p>
            <w:pPr>
              <w:pStyle w:val="1331"/>
              <w:ind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设备品种</w:t>
            </w:r>
            <w:r/>
          </w:p>
        </w:tc>
        <w:tc>
          <w:tcPr>
            <w:tcBorders>
              <w:top w:val="single" w:color="auto" w:sz="12" w:space="0"/>
              <w:bottom w:val="single" w:color="auto" w:sz="6" w:space="0"/>
            </w:tcBorders>
            <w:tcW w:w="1203"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规格型号</w:t>
            </w:r>
            <w:r/>
          </w:p>
        </w:tc>
        <w:tc>
          <w:tcPr>
            <w:tcBorders>
              <w:top w:val="single" w:color="auto" w:sz="12" w:space="0"/>
              <w:bottom w:val="single" w:color="auto" w:sz="6" w:space="0"/>
            </w:tcBorders>
            <w:tcW w:w="797"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p>
        </w:tc>
        <w:tc>
          <w:tcPr>
            <w:tcBorders>
              <w:top w:val="single" w:color="auto" w:sz="12" w:space="0"/>
              <w:bottom w:val="single" w:color="auto" w:sz="6" w:space="0"/>
            </w:tcBorders>
            <w:tcW w:w="721"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Borders>
              <w:top w:val="single" w:color="auto" w:sz="12" w:space="0"/>
              <w:bottom w:val="single" w:color="auto" w:sz="6" w:space="0"/>
            </w:tcBorders>
            <w:tcW w:w="885"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（元）</w:t>
            </w:r>
            <w:r/>
          </w:p>
        </w:tc>
        <w:tc>
          <w:tcPr>
            <w:tcBorders>
              <w:top w:val="single" w:color="auto" w:sz="12" w:space="0"/>
              <w:bottom w:val="single" w:color="auto" w:sz="6" w:space="0"/>
            </w:tcBorders>
            <w:tcW w:w="841"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w:t>
            </w:r>
            <w:r/>
          </w:p>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等级</w:t>
            </w:r>
            <w:r/>
          </w:p>
        </w:tc>
        <w:tc>
          <w:tcPr>
            <w:tcBorders>
              <w:top w:val="single" w:color="auto" w:sz="12" w:space="0"/>
              <w:bottom w:val="single" w:color="auto" w:sz="6" w:space="0"/>
            </w:tcBorders>
            <w:tcW w:w="721"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w:t>
            </w:r>
            <w:r/>
          </w:p>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时间</w:t>
            </w:r>
            <w:r/>
          </w:p>
        </w:tc>
        <w:tc>
          <w:tcPr>
            <w:tcBorders>
              <w:top w:val="single" w:color="auto" w:sz="12" w:space="0"/>
              <w:bottom w:val="single" w:color="auto" w:sz="6" w:space="0"/>
            </w:tcBorders>
            <w:tcW w:w="1262"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送达地点</w:t>
            </w:r>
            <w:r/>
          </w:p>
        </w:tc>
        <w:tc>
          <w:tcPr>
            <w:tcBorders>
              <w:top w:val="single" w:color="auto" w:sz="12" w:space="0"/>
              <w:bottom w:val="single" w:color="auto" w:sz="6" w:space="0"/>
            </w:tcBorders>
            <w:tcW w:w="841"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trHeight w:val="659"/>
        </w:trPr>
        <w:tc>
          <w:tcPr>
            <w:tcBorders>
              <w:top w:val="single" w:color="auto" w:sz="6" w:space="0"/>
              <w:bottom w:val="single" w:color="auto" w:sz="6" w:space="0"/>
            </w:tcBorders>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1082"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120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797"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885"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84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1262"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84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Borders>
              <w:top w:val="none" w:color="000000" w:sz="4" w:space="0"/>
            </w:tcBorders>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1082"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120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797"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885"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84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1262"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84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599"/>
        </w:trPr>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trHeight w:val="659"/>
        </w:trPr>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82"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03"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97"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85"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72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62"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41" w:type="dxa"/>
            <w:vAlign w:val="center"/>
            <w:textDirection w:val="lrTb"/>
            <w:noWrap w:val="false"/>
          </w:tcPr>
          <w:p>
            <w:pPr>
              <w:pStyle w:val="132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bl>
    <w:p>
      <w:pPr>
        <w:pStyle w:val="1329"/>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附件3： </w:t>
      </w:r>
      <w:r/>
    </w:p>
    <w:p>
      <w:pPr>
        <w:pStyle w:val="1329"/>
        <w:jc w:val="center"/>
        <w:spacing w:before="156" w:after="156" w:line="440" w:lineRule="exact"/>
        <w:rPr>
          <w:rFonts w:hint="eastAsia" w:ascii="宋体" w:hAnsi="宋体" w:eastAsia="宋体" w:cs="宋体"/>
          <w:b/>
          <w:highlight w:val="none"/>
        </w:rPr>
      </w:pPr>
      <w:r>
        <w:rPr>
          <w:rFonts w:hint="eastAsia" w:ascii="宋体" w:hAnsi="宋体" w:eastAsia="宋体" w:cs="宋体"/>
          <w:b/>
          <w:highlight w:val="none"/>
        </w:rPr>
        <w:t xml:space="preserve">工程质量保修书</w:t>
      </w:r>
      <w:r/>
    </w:p>
    <w:p>
      <w:pPr>
        <w:pStyle w:val="1329"/>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发包人（全称）：</w:t>
      </w:r>
      <w:r/>
    </w:p>
    <w:p>
      <w:pPr>
        <w:pStyle w:val="1329"/>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承包人（全称）：</w:t>
      </w:r>
      <w:r/>
    </w:p>
    <w:p>
      <w:pPr>
        <w:pStyle w:val="1329"/>
        <w:ind w:left="105" w:hanging="10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发包人和承包人根据《中华人民共和国建筑法》和《建设工程质量管理条例》，经协商一致就</w:t>
      </w:r>
      <w:r>
        <w:rPr>
          <w:rFonts w:hint="eastAsia" w:ascii="宋体" w:hAnsi="宋体" w:eastAsia="宋体" w:cs="宋体"/>
          <w:sz w:val="21"/>
          <w:szCs w:val="21"/>
          <w:highlight w:val="none"/>
          <w:u w:val="single"/>
        </w:rPr>
        <w:t xml:space="preserve">     （工程全称）</w:t>
      </w:r>
      <w:r>
        <w:rPr>
          <w:rFonts w:hint="eastAsia" w:ascii="宋体" w:hAnsi="宋体" w:eastAsia="宋体" w:cs="宋体"/>
          <w:sz w:val="21"/>
          <w:szCs w:val="21"/>
          <w:highlight w:val="none"/>
        </w:rPr>
        <w:t xml:space="preserve">签订工程质量保修书。</w:t>
      </w:r>
      <w:r/>
    </w:p>
    <w:p>
      <w:pPr>
        <w:pStyle w:val="1329"/>
        <w:spacing w:line="360" w:lineRule="auto"/>
        <w:rPr>
          <w:rFonts w:hint="eastAsia" w:ascii="宋体" w:hAnsi="宋体" w:eastAsia="宋体" w:cs="宋体"/>
          <w:szCs w:val="21"/>
          <w:highlight w:val="none"/>
        </w:rPr>
        <w:outlineLvl w:val="0"/>
      </w:pPr>
      <w:r>
        <w:rPr>
          <w:rFonts w:hint="eastAsia" w:ascii="宋体" w:hAnsi="宋体" w:eastAsia="宋体" w:cs="宋体"/>
          <w:szCs w:val="21"/>
          <w:highlight w:val="none"/>
        </w:rPr>
        <w:t xml:space="preserve">　　</w:t>
      </w:r>
      <w:bookmarkStart w:id="1479" w:name="_Toc54867177"/>
      <w:r/>
      <w:bookmarkStart w:id="1480" w:name="_Toc119597914"/>
      <w:r/>
      <w:bookmarkStart w:id="1481" w:name="_Toc41327833"/>
      <w:r>
        <w:rPr>
          <w:rFonts w:hint="eastAsia" w:ascii="宋体" w:hAnsi="宋体" w:eastAsia="宋体" w:cs="宋体"/>
          <w:b/>
          <w:highlight w:val="none"/>
        </w:rPr>
        <w:t xml:space="preserve">一、工程质量保修范围和内容</w:t>
      </w:r>
      <w:bookmarkEnd w:id="1479"/>
      <w:r/>
      <w:bookmarkEnd w:id="1480"/>
      <w:r/>
      <w:bookmarkEnd w:id="1481"/>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Cs w:val="21"/>
          <w:highlight w:val="none"/>
        </w:rPr>
        <w:t xml:space="preserve">　</w:t>
      </w:r>
      <w:r>
        <w:rPr>
          <w:rFonts w:hint="eastAsia" w:ascii="宋体" w:hAnsi="宋体" w:eastAsia="宋体" w:cs="宋体"/>
          <w:sz w:val="21"/>
          <w:szCs w:val="21"/>
          <w:highlight w:val="none"/>
        </w:rPr>
        <w:t xml:space="preserve">　承包人在质量保修期内，按照有关法律规定和合同约定，承担工程质量保修责任。</w:t>
      </w:r>
      <w:r/>
    </w:p>
    <w:p>
      <w:pPr>
        <w:pStyle w:val="1329"/>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质量保修范围包括：</w:t>
      </w:r>
      <w:r>
        <w:rPr>
          <w:rFonts w:hint="eastAsia" w:ascii="宋体" w:hAnsi="宋体" w:eastAsia="宋体" w:cs="宋体"/>
          <w:sz w:val="21"/>
          <w:szCs w:val="21"/>
          <w:highlight w:val="none"/>
          <w:u w:val="single"/>
        </w:rPr>
        <w:t xml:space="preserve">本工程承包人全部施工范围内的所有施工项目。</w:t>
      </w:r>
      <w:r/>
    </w:p>
    <w:p>
      <w:pPr>
        <w:pStyle w:val="132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具体保修的内容，双方约定如下：</w:t>
      </w:r>
      <w:r>
        <w:rPr>
          <w:rFonts w:hint="eastAsia" w:ascii="宋体" w:hAnsi="宋体" w:eastAsia="宋体" w:cs="宋体"/>
          <w:sz w:val="21"/>
          <w:szCs w:val="21"/>
          <w:highlight w:val="none"/>
          <w:u w:val="single"/>
        </w:rPr>
        <w:t xml:space="preserve">合同约定施工项目存在由施工质量引起的质量缺陷问题和由此引发的工程、设施等损坏，没有达到其产品寿命</w:t>
      </w:r>
      <w:r>
        <w:rPr>
          <w:rFonts w:hint="eastAsia" w:ascii="宋体" w:hAnsi="宋体" w:eastAsia="宋体" w:cs="宋体"/>
          <w:sz w:val="21"/>
          <w:szCs w:val="21"/>
          <w:highlight w:val="none"/>
        </w:rPr>
        <w:t xml:space="preserve">。</w:t>
      </w:r>
      <w:r/>
    </w:p>
    <w:p>
      <w:pPr>
        <w:pStyle w:val="1329"/>
        <w:spacing w:line="360" w:lineRule="auto"/>
        <w:rPr>
          <w:rFonts w:hint="eastAsia" w:ascii="宋体" w:hAnsi="宋体" w:eastAsia="宋体" w:cs="宋体"/>
          <w:b/>
          <w:highlight w:val="none"/>
        </w:rPr>
        <w:outlineLvl w:val="0"/>
      </w:pPr>
      <w:r>
        <w:rPr>
          <w:rFonts w:hint="eastAsia" w:ascii="宋体" w:hAnsi="宋体" w:eastAsia="宋体" w:cs="宋体"/>
          <w:b/>
          <w:szCs w:val="21"/>
          <w:highlight w:val="none"/>
        </w:rPr>
        <w:t xml:space="preserve">　　</w:t>
      </w:r>
      <w:bookmarkStart w:id="1482" w:name="_Toc54867178"/>
      <w:r/>
      <w:bookmarkStart w:id="1483" w:name="_Toc119597915"/>
      <w:r/>
      <w:bookmarkStart w:id="1484" w:name="_Toc41327834"/>
      <w:r>
        <w:rPr>
          <w:rFonts w:hint="eastAsia" w:ascii="宋体" w:hAnsi="宋体" w:eastAsia="宋体" w:cs="宋体"/>
          <w:b/>
          <w:highlight w:val="none"/>
        </w:rPr>
        <w:t xml:space="preserve">二、质量保修期</w:t>
      </w:r>
      <w:bookmarkEnd w:id="1482"/>
      <w:r/>
      <w:bookmarkEnd w:id="1483"/>
      <w:r/>
      <w:bookmarkEnd w:id="1484"/>
      <w:r/>
      <w:r/>
    </w:p>
    <w:p>
      <w:pPr>
        <w:pStyle w:val="132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根据《建设工程质量管理条例》及有关规定，工程的质量保修期如下：</w:t>
      </w:r>
      <w:r/>
    </w:p>
    <w:p>
      <w:pPr>
        <w:pStyle w:val="132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1．市政基础设施工程、房屋建筑的基础工程和主体结构工程为</w:t>
      </w:r>
      <w:r>
        <w:rPr>
          <w:rFonts w:hint="eastAsia" w:ascii="宋体" w:hAnsi="宋体" w:eastAsia="宋体" w:cs="宋体"/>
          <w:sz w:val="21"/>
          <w:szCs w:val="21"/>
          <w:highlight w:val="none"/>
          <w:u w:val="single"/>
        </w:rPr>
        <w:t xml:space="preserve">设计文件规定的工程合理使用年限</w:t>
      </w:r>
      <w:r>
        <w:rPr>
          <w:rFonts w:hint="eastAsia" w:ascii="宋体" w:hAnsi="宋体" w:eastAsia="宋体" w:cs="宋体"/>
          <w:sz w:val="21"/>
          <w:szCs w:val="21"/>
          <w:highlight w:val="none"/>
        </w:rPr>
        <w:t xml:space="preserve">；</w:t>
      </w:r>
      <w:r/>
    </w:p>
    <w:p>
      <w:pPr>
        <w:pStyle w:val="132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2．电气管线、给排水管道、设备安装工程为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w:t>
      </w:r>
      <w:r/>
    </w:p>
    <w:p>
      <w:pPr>
        <w:pStyle w:val="1329"/>
        <w:ind w:left="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3．住宅小区内的给排水设施、道路等配套工程为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w:t>
      </w:r>
      <w:r/>
    </w:p>
    <w:p>
      <w:pPr>
        <w:pStyle w:val="1329"/>
        <w:ind w:left="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 </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"https://www.baidu.com/s?wd=%E5%B1%8B%E9%9D%A2%E9%98%B2%E6%B0%B4%E5%B7%A5%E7%A8%8B&amp;tn=SE_PcZhidaonwhc_ngpagmjz&amp;rsv_dl=gh_pc_zhidao" \t "_blank"</w:instrText>
      </w:r>
      <w:r>
        <w:rPr>
          <w:rFonts w:hint="eastAsia" w:ascii="宋体" w:hAnsi="宋体" w:eastAsia="宋体" w:cs="宋体"/>
          <w:highlight w:val="none"/>
        </w:rPr>
        <w:fldChar w:fldCharType="separate"/>
      </w:r>
      <w:r>
        <w:rPr>
          <w:rFonts w:hint="eastAsia" w:ascii="宋体" w:hAnsi="宋体" w:eastAsia="宋体" w:cs="宋体"/>
          <w:sz w:val="21"/>
          <w:szCs w:val="21"/>
          <w:highlight w:val="none"/>
        </w:rPr>
        <w:t xml:space="preserve">屋面防水工程</w:t>
      </w:r>
      <w:r>
        <w:rPr>
          <w:rFonts w:hint="eastAsia" w:ascii="宋体" w:hAnsi="宋体" w:eastAsia="宋体" w:cs="宋体"/>
          <w:highlight w:val="none"/>
        </w:rPr>
        <w:fldChar w:fldCharType="end"/>
      </w:r>
      <w:r>
        <w:rPr>
          <w:rFonts w:hint="eastAsia" w:ascii="宋体" w:hAnsi="宋体" w:eastAsia="宋体" w:cs="宋体"/>
          <w:sz w:val="21"/>
          <w:szCs w:val="21"/>
          <w:highlight w:val="none"/>
        </w:rPr>
        <w:t xml:space="preserve">、有防水要求的卫生间、房间和外墙面的防渗漏为</w:t>
      </w:r>
      <w:r>
        <w:rPr>
          <w:rFonts w:hint="eastAsia" w:ascii="宋体" w:hAnsi="宋体" w:eastAsia="宋体" w:cs="宋体"/>
          <w:sz w:val="21"/>
          <w:szCs w:val="21"/>
          <w:highlight w:val="none"/>
          <w:u w:val="single"/>
        </w:rPr>
        <w:t xml:space="preserve">5</w:t>
      </w:r>
      <w:r>
        <w:rPr>
          <w:rFonts w:hint="eastAsia" w:ascii="宋体" w:hAnsi="宋体" w:eastAsia="宋体" w:cs="宋体"/>
          <w:sz w:val="21"/>
          <w:szCs w:val="21"/>
          <w:highlight w:val="none"/>
        </w:rPr>
        <w:t xml:space="preserve">年</w:t>
      </w:r>
      <w:r/>
    </w:p>
    <w:p>
      <w:pPr>
        <w:pStyle w:val="1329"/>
        <w:ind w:left="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5．其他项目保修期限约定如下：以上没有说明的其他项目的保修期为</w:t>
      </w:r>
      <w:r>
        <w:rPr>
          <w:rFonts w:hint="eastAsia" w:ascii="宋体" w:hAnsi="宋体" w:eastAsia="宋体" w:cs="宋体"/>
          <w:sz w:val="21"/>
          <w:szCs w:val="21"/>
          <w:highlight w:val="none"/>
          <w:u w:val="single"/>
        </w:rPr>
        <w:t xml:space="preserve">两年</w:t>
      </w:r>
      <w:r>
        <w:rPr>
          <w:rFonts w:hint="eastAsia" w:ascii="宋体" w:hAnsi="宋体" w:eastAsia="宋体" w:cs="宋体"/>
          <w:sz w:val="21"/>
          <w:szCs w:val="21"/>
          <w:highlight w:val="none"/>
        </w:rPr>
        <w:t xml:space="preserve">。</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质量保修期自工程竣工验收合格之日起计算。</w:t>
      </w:r>
      <w:r/>
    </w:p>
    <w:p>
      <w:pPr>
        <w:pStyle w:val="1329"/>
        <w:ind w:firstLine="480"/>
        <w:spacing w:line="360" w:lineRule="auto"/>
        <w:rPr>
          <w:rFonts w:hint="eastAsia" w:ascii="宋体" w:hAnsi="宋体" w:eastAsia="宋体" w:cs="宋体"/>
          <w:b/>
          <w:highlight w:val="none"/>
        </w:rPr>
        <w:outlineLvl w:val="0"/>
      </w:pPr>
      <w:r/>
      <w:bookmarkStart w:id="1485" w:name="_Toc41327835"/>
      <w:r/>
      <w:bookmarkStart w:id="1486" w:name="_Toc54867179"/>
      <w:r/>
      <w:bookmarkStart w:id="1487" w:name="_Toc119597916"/>
      <w:r>
        <w:rPr>
          <w:rFonts w:hint="eastAsia" w:ascii="宋体" w:hAnsi="宋体" w:eastAsia="宋体" w:cs="宋体"/>
          <w:b/>
          <w:highlight w:val="none"/>
        </w:rPr>
        <w:t xml:space="preserve">三、缺陷责任期</w:t>
      </w:r>
      <w:bookmarkEnd w:id="1485"/>
      <w:r/>
      <w:bookmarkEnd w:id="1486"/>
      <w:r/>
      <w:bookmarkEnd w:id="1487"/>
      <w:r/>
      <w:r/>
    </w:p>
    <w:p>
      <w:pPr>
        <w:pStyle w:val="132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工程缺陷责任期为</w:t>
      </w:r>
      <w:r>
        <w:rPr>
          <w:rFonts w:hint="eastAsia" w:ascii="宋体" w:hAnsi="宋体" w:eastAsia="宋体" w:cs="宋体"/>
          <w:sz w:val="21"/>
          <w:szCs w:val="21"/>
          <w:highlight w:val="none"/>
          <w:u w:val="single"/>
        </w:rPr>
        <w:t xml:space="preserve">24</w:t>
      </w:r>
      <w:r>
        <w:rPr>
          <w:rFonts w:hint="eastAsia" w:ascii="宋体" w:hAnsi="宋体" w:eastAsia="宋体" w:cs="宋体"/>
          <w:sz w:val="21"/>
          <w:szCs w:val="21"/>
          <w:highlight w:val="none"/>
        </w:rPr>
        <w:t xml:space="preserve">个月，缺陷责任期自工程实际竣工之日起计算。单位工程先于全部工程进行验收，单位工程缺陷责任期自单位工程验收合格之日起算。</w:t>
      </w:r>
      <w:r/>
    </w:p>
    <w:p>
      <w:pPr>
        <w:pStyle w:val="132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缺陷责任期终止后，发包人应退还剩余的质量保证金。</w:t>
      </w:r>
      <w:r/>
    </w:p>
    <w:p>
      <w:pPr>
        <w:pStyle w:val="1329"/>
        <w:ind w:firstLine="358"/>
        <w:spacing w:line="360" w:lineRule="auto"/>
        <w:rPr>
          <w:rFonts w:hint="eastAsia" w:ascii="宋体" w:hAnsi="宋体" w:eastAsia="宋体" w:cs="宋体"/>
          <w:b/>
          <w:highlight w:val="none"/>
        </w:rPr>
        <w:outlineLvl w:val="0"/>
      </w:pPr>
      <w:r/>
      <w:bookmarkStart w:id="1488" w:name="_Toc119597917"/>
      <w:r/>
      <w:bookmarkStart w:id="1489" w:name="_Toc41327836"/>
      <w:r/>
      <w:bookmarkStart w:id="1490" w:name="_Toc54867180"/>
      <w:r>
        <w:rPr>
          <w:rFonts w:hint="eastAsia" w:ascii="宋体" w:hAnsi="宋体" w:eastAsia="宋体" w:cs="宋体"/>
          <w:b/>
          <w:highlight w:val="none"/>
        </w:rPr>
        <w:t xml:space="preserve">四、质量保修责任</w:t>
      </w:r>
      <w:bookmarkEnd w:id="1488"/>
      <w:r/>
      <w:bookmarkEnd w:id="1489"/>
      <w:r/>
      <w:bookmarkEnd w:id="1490"/>
      <w:r/>
      <w:r/>
    </w:p>
    <w:p>
      <w:pPr>
        <w:pStyle w:val="1329"/>
        <w:ind w:firstLine="315"/>
        <w:spacing w:line="360" w:lineRule="auto"/>
        <w:rPr>
          <w:rFonts w:hint="eastAsia" w:ascii="宋体" w:hAnsi="宋体" w:eastAsia="宋体" w:cs="宋体"/>
          <w:sz w:val="21"/>
          <w:szCs w:val="21"/>
          <w:highlight w:val="none"/>
        </w:rPr>
        <w:outlineLvl w:val="0"/>
      </w:pPr>
      <w:r/>
      <w:bookmarkStart w:id="1491" w:name="_Toc54867181"/>
      <w:r/>
      <w:bookmarkStart w:id="1492" w:name="_Toc41327837"/>
      <w:r/>
      <w:bookmarkStart w:id="1493" w:name="_Toc119597918"/>
      <w:r>
        <w:rPr>
          <w:rFonts w:hint="eastAsia" w:ascii="宋体" w:hAnsi="宋体" w:eastAsia="宋体" w:cs="宋体"/>
          <w:sz w:val="21"/>
          <w:szCs w:val="21"/>
          <w:highlight w:val="none"/>
        </w:rPr>
        <w:t xml:space="preserve">1、根据《建设工程质量管理条例》的规定，</w:t>
      </w:r>
      <w:r>
        <w:rPr>
          <w:rFonts w:hint="eastAsia" w:ascii="宋体" w:hAnsi="宋体" w:eastAsia="宋体" w:cs="宋体"/>
          <w:sz w:val="21"/>
          <w:szCs w:val="21"/>
          <w:highlight w:val="none"/>
          <w:u w:val="single"/>
        </w:rPr>
        <w:t xml:space="preserve">本工程自办理竣工验收手续后，在约定的保修范围和规定的保修期限内发生质量缺陷的，应由承包人履行保修义务，并对造成的损失承担赔偿责任。</w:t>
      </w:r>
      <w:bookmarkEnd w:id="1491"/>
      <w:r/>
      <w:bookmarkEnd w:id="1492"/>
      <w:r/>
      <w:bookmarkEnd w:id="1493"/>
      <w:r/>
      <w:r/>
    </w:p>
    <w:p>
      <w:pPr>
        <w:pStyle w:val="1329"/>
        <w:ind w:firstLine="312"/>
        <w:spacing w:line="360" w:lineRule="auto"/>
        <w:rPr>
          <w:rFonts w:hint="eastAsia" w:ascii="宋体" w:hAnsi="宋体" w:eastAsia="宋体" w:cs="宋体"/>
          <w:b/>
          <w:sz w:val="21"/>
          <w:szCs w:val="21"/>
          <w:highlight w:val="none"/>
        </w:rPr>
        <w:outlineLvl w:val="0"/>
      </w:pPr>
      <w:r/>
      <w:bookmarkStart w:id="1494" w:name="_Toc41327838"/>
      <w:r/>
      <w:bookmarkStart w:id="1495" w:name="_Toc119597919"/>
      <w:r/>
      <w:bookmarkStart w:id="1496" w:name="_Toc54867182"/>
      <w:r>
        <w:rPr>
          <w:rFonts w:hint="eastAsia" w:ascii="宋体" w:hAnsi="宋体" w:eastAsia="宋体" w:cs="宋体"/>
          <w:sz w:val="21"/>
          <w:szCs w:val="21"/>
          <w:highlight w:val="none"/>
        </w:rPr>
        <w:t xml:space="preserve">2、本保修书所称的质量缺陷是指</w:t>
      </w:r>
      <w:r>
        <w:rPr>
          <w:rFonts w:hint="eastAsia" w:ascii="宋体" w:hAnsi="宋体" w:eastAsia="宋体" w:cs="宋体"/>
          <w:sz w:val="21"/>
          <w:szCs w:val="21"/>
          <w:highlight w:val="none"/>
          <w:u w:val="single"/>
        </w:rPr>
        <w:t xml:space="preserve">工程不符合国家或行业现行的有关强制性标准、施工验收规范、设计文件及合同中对工程质量的要求。</w:t>
      </w:r>
      <w:bookmarkEnd w:id="1494"/>
      <w:r/>
      <w:bookmarkEnd w:id="1495"/>
      <w:r/>
      <w:bookmarkEnd w:id="1496"/>
      <w:r/>
      <w:r/>
    </w:p>
    <w:p>
      <w:pPr>
        <w:pStyle w:val="1329"/>
        <w:ind w:firstLine="312"/>
        <w:spacing w:line="360" w:lineRule="auto"/>
        <w:rPr>
          <w:rFonts w:hint="eastAsia" w:ascii="宋体" w:hAnsi="宋体" w:eastAsia="宋体" w:cs="宋体"/>
          <w:b/>
          <w:sz w:val="21"/>
          <w:szCs w:val="21"/>
          <w:highlight w:val="none"/>
        </w:rPr>
        <w:outlineLvl w:val="0"/>
      </w:pPr>
      <w:r/>
      <w:bookmarkStart w:id="1497" w:name="_Toc41327839"/>
      <w:r/>
      <w:bookmarkStart w:id="1498" w:name="_Toc119597920"/>
      <w:r/>
      <w:bookmarkStart w:id="1499" w:name="_Toc54867183"/>
      <w:r>
        <w:rPr>
          <w:rFonts w:hint="eastAsia" w:ascii="宋体" w:hAnsi="宋体" w:eastAsia="宋体" w:cs="宋体"/>
          <w:sz w:val="21"/>
          <w:szCs w:val="21"/>
          <w:highlight w:val="none"/>
        </w:rPr>
        <w:t xml:space="preserve">3、本工程在保修期限内出现质量缺陷，发包人向承包人发出保修通知，承包人应当在接到保修通知之日起</w:t>
      </w:r>
      <w:r>
        <w:rPr>
          <w:rFonts w:hint="eastAsia" w:ascii="宋体" w:hAnsi="宋体" w:eastAsia="宋体" w:cs="宋体"/>
          <w:sz w:val="21"/>
          <w:szCs w:val="21"/>
          <w:highlight w:val="none"/>
          <w:u w:val="single"/>
        </w:rPr>
        <w:t xml:space="preserve">7</w:t>
      </w:r>
      <w:r>
        <w:rPr>
          <w:rFonts w:hint="eastAsia" w:ascii="宋体" w:hAnsi="宋体" w:eastAsia="宋体" w:cs="宋体"/>
          <w:sz w:val="21"/>
          <w:szCs w:val="21"/>
          <w:highlight w:val="none"/>
        </w:rPr>
        <w:t xml:space="preserve">天内派人保修。承包人不在约定时间内派人修理，发包人可以委托其他人员修理，保修费用从质量保修金内扣除。</w:t>
      </w:r>
      <w:bookmarkEnd w:id="1497"/>
      <w:r/>
      <w:bookmarkEnd w:id="1498"/>
      <w:r/>
      <w:bookmarkEnd w:id="1499"/>
      <w:r/>
      <w:r/>
    </w:p>
    <w:p>
      <w:pPr>
        <w:pStyle w:val="1329"/>
        <w:ind w:firstLine="312"/>
        <w:spacing w:line="360" w:lineRule="auto"/>
        <w:rPr>
          <w:rFonts w:hint="eastAsia" w:ascii="宋体" w:hAnsi="宋体" w:eastAsia="宋体" w:cs="宋体"/>
          <w:b/>
          <w:sz w:val="21"/>
          <w:szCs w:val="21"/>
          <w:highlight w:val="none"/>
        </w:rPr>
        <w:outlineLvl w:val="0"/>
      </w:pPr>
      <w:r/>
      <w:bookmarkStart w:id="1500" w:name="_Toc41327840"/>
      <w:r/>
      <w:bookmarkStart w:id="1501" w:name="_Toc119597921"/>
      <w:r/>
      <w:bookmarkStart w:id="1502" w:name="_Toc54867184"/>
      <w:r>
        <w:rPr>
          <w:rFonts w:hint="eastAsia" w:ascii="宋体" w:hAnsi="宋体" w:eastAsia="宋体" w:cs="宋体"/>
          <w:sz w:val="21"/>
          <w:szCs w:val="21"/>
          <w:highlight w:val="none"/>
        </w:rPr>
        <w:t xml:space="preserve">4、发生须紧急抢修事故，承包人接到事故通知后,应立即到达事故现场抢修。非承包人施工质量引起的事故，抢修费用由发包人承包。</w:t>
      </w:r>
      <w:bookmarkEnd w:id="1500"/>
      <w:r/>
      <w:bookmarkEnd w:id="1501"/>
      <w:r/>
      <w:bookmarkEnd w:id="1502"/>
      <w:r/>
      <w:r/>
    </w:p>
    <w:p>
      <w:pPr>
        <w:pStyle w:val="1329"/>
        <w:ind w:firstLine="312"/>
        <w:spacing w:line="360" w:lineRule="auto"/>
        <w:rPr>
          <w:rFonts w:hint="eastAsia" w:ascii="宋体" w:hAnsi="宋体" w:eastAsia="宋体" w:cs="宋体"/>
          <w:b/>
          <w:sz w:val="21"/>
          <w:szCs w:val="21"/>
          <w:highlight w:val="none"/>
        </w:rPr>
        <w:outlineLvl w:val="0"/>
      </w:pPr>
      <w:r/>
      <w:bookmarkStart w:id="1503" w:name="_Toc41327841"/>
      <w:r/>
      <w:bookmarkStart w:id="1504" w:name="_Toc54867185"/>
      <w:r/>
      <w:bookmarkStart w:id="1505" w:name="_Toc119597922"/>
      <w:r>
        <w:rPr>
          <w:rFonts w:hint="eastAsia" w:ascii="宋体" w:hAnsi="宋体" w:eastAsia="宋体" w:cs="宋体"/>
          <w:sz w:val="21"/>
          <w:szCs w:val="21"/>
          <w:highlight w:val="none"/>
        </w:rPr>
        <w:t xml:space="preserve">5、质量保修期完成后，由发包人组织验收。</w:t>
      </w:r>
      <w:bookmarkEnd w:id="1503"/>
      <w:r/>
      <w:bookmarkEnd w:id="1504"/>
      <w:r/>
      <w:bookmarkEnd w:id="1505"/>
      <w:r/>
      <w:r/>
    </w:p>
    <w:p>
      <w:pPr>
        <w:pStyle w:val="1329"/>
        <w:ind w:firstLine="358"/>
        <w:spacing w:line="360" w:lineRule="auto"/>
        <w:rPr>
          <w:rFonts w:hint="eastAsia" w:ascii="宋体" w:hAnsi="宋体" w:eastAsia="宋体" w:cs="宋体"/>
          <w:b/>
          <w:highlight w:val="none"/>
        </w:rPr>
        <w:outlineLvl w:val="0"/>
      </w:pPr>
      <w:r/>
      <w:bookmarkStart w:id="1506" w:name="_Toc119597923"/>
      <w:r/>
      <w:bookmarkStart w:id="1507" w:name="_Toc41327842"/>
      <w:r/>
      <w:bookmarkStart w:id="1508" w:name="_Toc54867186"/>
      <w:r>
        <w:rPr>
          <w:rFonts w:hint="eastAsia" w:ascii="宋体" w:hAnsi="宋体" w:eastAsia="宋体" w:cs="宋体"/>
          <w:b/>
          <w:highlight w:val="none"/>
        </w:rPr>
        <w:t xml:space="preserve">五、保修保证金的支付及保修费用</w:t>
      </w:r>
      <w:bookmarkEnd w:id="1506"/>
      <w:r/>
      <w:bookmarkEnd w:id="1507"/>
      <w:r/>
      <w:bookmarkEnd w:id="1508"/>
      <w:r/>
      <w:r/>
    </w:p>
    <w:p>
      <w:pPr>
        <w:pStyle w:val="132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1、工程质量保修金一般不超过施工合同价款的</w:t>
      </w:r>
      <w:r>
        <w:rPr>
          <w:rFonts w:hint="eastAsia" w:ascii="宋体" w:hAnsi="宋体" w:eastAsia="宋体" w:cs="宋体"/>
          <w:sz w:val="21"/>
          <w:szCs w:val="21"/>
          <w:highlight w:val="none"/>
          <w:u w:val="single"/>
        </w:rPr>
        <w:t xml:space="preserve">3%</w:t>
      </w:r>
      <w:r>
        <w:rPr>
          <w:rFonts w:hint="eastAsia" w:ascii="宋体" w:hAnsi="宋体" w:eastAsia="宋体" w:cs="宋体"/>
          <w:sz w:val="21"/>
          <w:szCs w:val="21"/>
          <w:highlight w:val="none"/>
        </w:rPr>
        <w:t xml:space="preserve">,本工程约定的工程质量保修金为施工结算价款的</w:t>
      </w:r>
      <w:r>
        <w:rPr>
          <w:rFonts w:hint="eastAsia" w:ascii="宋体" w:hAnsi="宋体" w:eastAsia="宋体" w:cs="宋体"/>
          <w:sz w:val="21"/>
          <w:szCs w:val="21"/>
          <w:highlight w:val="none"/>
          <w:u w:val="single"/>
        </w:rPr>
        <w:t xml:space="preserve">3%</w:t>
      </w:r>
      <w:r>
        <w:rPr>
          <w:rFonts w:hint="eastAsia" w:ascii="宋体" w:hAnsi="宋体" w:eastAsia="宋体" w:cs="宋体"/>
          <w:sz w:val="21"/>
          <w:szCs w:val="21"/>
          <w:highlight w:val="none"/>
        </w:rPr>
        <w:t xml:space="preserve">。发包人在保修期满后</w:t>
      </w:r>
      <w:r>
        <w:rPr>
          <w:rFonts w:hint="eastAsia" w:ascii="宋体" w:hAnsi="宋体" w:eastAsia="宋体" w:cs="宋体"/>
          <w:sz w:val="21"/>
          <w:szCs w:val="21"/>
          <w:highlight w:val="none"/>
          <w:u w:val="single"/>
        </w:rPr>
        <w:t xml:space="preserve"> 30 </w:t>
      </w:r>
      <w:r>
        <w:rPr>
          <w:rFonts w:hint="eastAsia" w:ascii="宋体" w:hAnsi="宋体" w:eastAsia="宋体" w:cs="宋体"/>
          <w:sz w:val="21"/>
          <w:szCs w:val="21"/>
          <w:highlight w:val="none"/>
        </w:rPr>
        <w:t xml:space="preserve">天内无息退还承包人。</w:t>
      </w:r>
      <w:r/>
    </w:p>
    <w:p>
      <w:pPr>
        <w:pStyle w:val="132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2、在本工程保修范围和保修期限内发生的质量问题，由承包人义务保修，并对造成的损失承担赔偿责任。</w:t>
      </w:r>
      <w:r/>
    </w:p>
    <w:p>
      <w:pPr>
        <w:pStyle w:val="1329"/>
        <w:ind w:firstLine="353"/>
        <w:jc w:val="left"/>
        <w:spacing w:line="360" w:lineRule="auto"/>
        <w:rPr>
          <w:rFonts w:hint="eastAsia" w:ascii="宋体" w:hAnsi="宋体" w:eastAsia="宋体" w:cs="宋体"/>
          <w:b/>
          <w:highlight w:val="none"/>
        </w:rPr>
      </w:pPr>
      <w:r>
        <w:rPr>
          <w:rFonts w:hint="eastAsia" w:ascii="宋体" w:hAnsi="宋体" w:eastAsia="宋体" w:cs="宋体"/>
          <w:b/>
          <w:highlight w:val="none"/>
        </w:rPr>
        <w:t xml:space="preserve">六、其他</w:t>
      </w:r>
      <w:r/>
    </w:p>
    <w:p>
      <w:pPr>
        <w:pStyle w:val="1329"/>
        <w:ind w:firstLine="308"/>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双方约定的其他工程质量保修事项：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329"/>
        <w:ind w:firstLine="39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本工程质量保修书，由施工合同发包人、承包人双方在竣工验收前共同签署，作为施工合同附件，其有效期自订立时间起至保修期限满。</w:t>
      </w:r>
      <w:r/>
    </w:p>
    <w:p>
      <w:pPr>
        <w:pStyle w:val="132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发包人(公章)：                              承包人(公章)：</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                                    地  址：</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法定代表人(签字)：                          法定代表人(签字)：</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委托代理人(签字)：                          委托代理人(签字)：</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                                    电  话：</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  真：                                    传  真：</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开户银行：                                  开户银行：</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  号：                                    账 号：</w:t>
      </w:r>
      <w:r/>
    </w:p>
    <w:p>
      <w:pPr>
        <w:pStyle w:val="1329"/>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邮政编码：                                  邮政编码：</w:t>
      </w:r>
      <w:r/>
    </w:p>
    <w:p>
      <w:pPr>
        <w:pStyle w:val="1329"/>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1329"/>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br w:type="page" w:clear="all"/>
      </w:r>
      <w:r>
        <w:rPr>
          <w:rFonts w:hint="eastAsia" w:ascii="宋体" w:hAnsi="宋体" w:eastAsia="宋体" w:cs="宋体"/>
          <w:sz w:val="21"/>
          <w:szCs w:val="21"/>
          <w:highlight w:val="none"/>
        </w:rPr>
        <w:t xml:space="preserve">附件4：</w:t>
      </w:r>
      <w:r/>
    </w:p>
    <w:p>
      <w:pPr>
        <w:pStyle w:val="1329"/>
        <w:jc w:val="center"/>
        <w:spacing w:before="156" w:after="156" w:line="440" w:lineRule="exact"/>
        <w:rPr>
          <w:rFonts w:hint="eastAsia" w:ascii="宋体" w:hAnsi="宋体" w:eastAsia="宋体" w:cs="宋体"/>
          <w:b/>
          <w:highlight w:val="none"/>
        </w:rPr>
      </w:pPr>
      <w:r>
        <w:rPr>
          <w:rFonts w:hint="eastAsia" w:ascii="宋体" w:hAnsi="宋体" w:eastAsia="宋体" w:cs="宋体"/>
          <w:b/>
          <w:highlight w:val="none"/>
        </w:rPr>
        <w:t xml:space="preserve">主要建设工程文件目录</w:t>
      </w:r>
      <w:r/>
    </w:p>
    <w:tbl>
      <w:tblPr>
        <w:tblStyle w:val="88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w:t>
            </w:r>
            <w:r/>
          </w:p>
        </w:tc>
        <w:tc>
          <w:tcPr>
            <w:tcBorders>
              <w:top w:val="single" w:color="auto" w:sz="12" w:space="0"/>
              <w:bottom w:val="single" w:color="auto" w:sz="6" w:space="0"/>
            </w:tcBorders>
            <w:tcW w:w="1450" w:type="dxa"/>
            <w:vAlign w:val="top"/>
            <w:textDirection w:val="lrTb"/>
            <w:noWrap w:val="false"/>
          </w:tcPr>
          <w:p>
            <w:pPr>
              <w:pStyle w:val="1329"/>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pStyle w:val="1329"/>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127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145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124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145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1667"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Borders>
              <w:top w:val="none" w:color="000000" w:sz="4" w:space="0"/>
            </w:tcBorders>
            <w:tcW w:w="195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127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145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124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145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1667"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95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7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24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5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667"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bl>
    <w:p>
      <w:pPr>
        <w:pStyle w:val="1329"/>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1329"/>
        <w:spacing w:line="440" w:lineRule="exact"/>
        <w:rPr>
          <w:rFonts w:hint="eastAsia" w:ascii="宋体" w:hAnsi="宋体" w:eastAsia="宋体" w:cs="宋体"/>
          <w:sz w:val="21"/>
          <w:szCs w:val="21"/>
          <w:highlight w:val="none"/>
        </w:rPr>
      </w:pPr>
      <w:r>
        <w:rPr>
          <w:rFonts w:hint="eastAsia" w:ascii="宋体" w:hAnsi="宋体" w:eastAsia="宋体" w:cs="宋体"/>
          <w:sz w:val="30"/>
          <w:szCs w:val="30"/>
          <w:highlight w:val="none"/>
        </w:rPr>
        <w:br w:type="page" w:clear="all"/>
      </w:r>
      <w:r>
        <w:rPr>
          <w:rFonts w:hint="eastAsia" w:ascii="宋体" w:hAnsi="宋体" w:eastAsia="宋体" w:cs="宋体"/>
          <w:sz w:val="21"/>
          <w:szCs w:val="21"/>
          <w:highlight w:val="none"/>
        </w:rPr>
        <w:t xml:space="preserve">附件5：</w:t>
      </w:r>
      <w:r/>
    </w:p>
    <w:p>
      <w:pPr>
        <w:pStyle w:val="1329"/>
        <w:jc w:val="center"/>
        <w:spacing w:before="156" w:after="156" w:line="440" w:lineRule="exact"/>
        <w:rPr>
          <w:rFonts w:hint="eastAsia" w:ascii="宋体" w:hAnsi="宋体" w:eastAsia="宋体" w:cs="宋体"/>
          <w:b/>
          <w:highlight w:val="none"/>
        </w:rPr>
      </w:pPr>
      <w:r>
        <w:rPr>
          <w:rFonts w:hint="eastAsia" w:ascii="宋体" w:hAnsi="宋体" w:eastAsia="宋体" w:cs="宋体"/>
          <w:b/>
          <w:highlight w:val="none"/>
        </w:rPr>
        <w:t xml:space="preserve">承包人用于本工程施工的机械设备表</w:t>
      </w:r>
      <w:r/>
    </w:p>
    <w:tbl>
      <w:tblPr>
        <w:tblStyle w:val="881"/>
        <w:tblW w:w="957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34"/>
        <w:gridCol w:w="1384"/>
        <w:gridCol w:w="830"/>
        <w:gridCol w:w="1033"/>
        <w:gridCol w:w="859"/>
        <w:gridCol w:w="996"/>
        <w:gridCol w:w="1445"/>
        <w:gridCol w:w="996"/>
        <w:gridCol w:w="899"/>
      </w:tblGrid>
      <w:tr>
        <w:trPr>
          <w:jc w:val="center"/>
        </w:trPr>
        <w:tc>
          <w:tcPr>
            <w:tcBorders>
              <w:top w:val="single" w:color="auto" w:sz="12" w:space="0"/>
              <w:bottom w:val="single" w:color="auto" w:sz="6" w:space="0"/>
            </w:tcBorders>
            <w:tcW w:w="1134"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12" w:space="0"/>
              <w:bottom w:val="single" w:color="auto" w:sz="6" w:space="0"/>
            </w:tcBorders>
            <w:tcW w:w="1384"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机械或设备名称</w:t>
            </w:r>
            <w:r/>
          </w:p>
        </w:tc>
        <w:tc>
          <w:tcPr>
            <w:tcBorders>
              <w:top w:val="single" w:color="auto" w:sz="12" w:space="0"/>
              <w:bottom w:val="single" w:color="auto" w:sz="6" w:space="0"/>
            </w:tcBorders>
            <w:tcW w:w="830"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w:t>
            </w:r>
            <w:r/>
          </w:p>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型号</w:t>
            </w:r>
            <w:r/>
          </w:p>
        </w:tc>
        <w:tc>
          <w:tcPr>
            <w:tcBorders>
              <w:top w:val="single" w:color="auto" w:sz="12" w:space="0"/>
              <w:bottom w:val="single" w:color="auto" w:sz="6" w:space="0"/>
            </w:tcBorders>
            <w:tcW w:w="1033"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Borders>
              <w:top w:val="single" w:color="auto" w:sz="12" w:space="0"/>
              <w:bottom w:val="single" w:color="auto" w:sz="6" w:space="0"/>
            </w:tcBorders>
            <w:tcW w:w="859"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产地</w:t>
            </w:r>
            <w:r/>
          </w:p>
        </w:tc>
        <w:tc>
          <w:tcPr>
            <w:tcBorders>
              <w:top w:val="single" w:color="auto" w:sz="12" w:space="0"/>
              <w:bottom w:val="single" w:color="auto" w:sz="6" w:space="0"/>
            </w:tcBorders>
            <w:tcW w:w="996"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制造</w:t>
            </w:r>
            <w:r/>
          </w:p>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年份</w:t>
            </w:r>
            <w:r/>
          </w:p>
        </w:tc>
        <w:tc>
          <w:tcPr>
            <w:tcBorders>
              <w:top w:val="single" w:color="auto" w:sz="12" w:space="0"/>
              <w:bottom w:val="single" w:color="auto" w:sz="6" w:space="0"/>
            </w:tcBorders>
            <w:tcW w:w="1445"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额定功率(kW)</w:t>
            </w:r>
            <w:r/>
          </w:p>
        </w:tc>
        <w:tc>
          <w:tcPr>
            <w:tcBorders>
              <w:top w:val="single" w:color="auto" w:sz="12" w:space="0"/>
              <w:bottom w:val="single" w:color="auto" w:sz="6" w:space="0"/>
            </w:tcBorders>
            <w:tcW w:w="996"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生产</w:t>
            </w:r>
            <w:r/>
          </w:p>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能力</w:t>
            </w:r>
            <w:r/>
          </w:p>
        </w:tc>
        <w:tc>
          <w:tcPr>
            <w:tcBorders>
              <w:top w:val="single" w:color="auto" w:sz="12" w:space="0"/>
              <w:bottom w:val="single" w:color="auto" w:sz="6" w:space="0"/>
            </w:tcBorders>
            <w:tcW w:w="899"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jc w:val="center"/>
          <w:trHeight w:val="567"/>
        </w:trPr>
        <w:tc>
          <w:tcPr>
            <w:tcBorders>
              <w:top w:val="single" w:color="auto" w:sz="6" w:space="0"/>
              <w:bottom w:val="single" w:color="auto" w:sz="6" w:space="0"/>
            </w:tcBorders>
            <w:tcW w:w="1134"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1384"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83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103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859"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99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1445"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99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single" w:color="auto" w:sz="6" w:space="0"/>
              <w:bottom w:val="single" w:color="auto" w:sz="6" w:space="0"/>
            </w:tcBorders>
            <w:tcW w:w="899"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Borders>
              <w:top w:val="none" w:color="000000" w:sz="4" w:space="0"/>
            </w:tcBorders>
            <w:tcW w:w="1134"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1384"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83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103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859"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99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1445"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99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Borders>
              <w:top w:val="none" w:color="000000" w:sz="4" w:space="0"/>
            </w:tcBorders>
            <w:tcW w:w="899"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center"/>
            <w:textDirection w:val="lrTb"/>
            <w:noWrap w:val="false"/>
          </w:tcPr>
          <w:p>
            <w:pPr>
              <w:pStyle w:val="1331"/>
              <w:ind w:left="63" w:right="63"/>
              <w:keepNext/>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r>
        <w:trPr>
          <w:jc w:val="center"/>
          <w:trHeight w:val="567"/>
        </w:trPr>
        <w:tc>
          <w:tcPr>
            <w:tcW w:w="1134"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384"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30"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033"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59"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1445"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996"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c>
          <w:tcPr>
            <w:tcW w:w="899" w:type="dxa"/>
            <w:vAlign w:val="top"/>
            <w:textDirection w:val="lrTb"/>
            <w:noWrap w:val="false"/>
          </w:tcPr>
          <w:p>
            <w:pPr>
              <w:pStyle w:val="1329"/>
              <w:rPr>
                <w:rFonts w:hint="eastAsia" w:ascii="宋体" w:hAnsi="宋体" w:eastAsia="宋体" w:cs="宋体"/>
                <w:sz w:val="30"/>
                <w:szCs w:val="30"/>
                <w:highlight w:val="none"/>
              </w:rPr>
            </w:pPr>
            <w:r>
              <w:rPr>
                <w:rFonts w:hint="eastAsia" w:ascii="宋体" w:hAnsi="宋体" w:eastAsia="宋体" w:cs="宋体"/>
                <w:sz w:val="30"/>
                <w:szCs w:val="30"/>
                <w:highlight w:val="none"/>
              </w:rPr>
            </w:r>
            <w:r/>
          </w:p>
        </w:tc>
      </w:tr>
    </w:tbl>
    <w:p>
      <w:pPr>
        <w:pStyle w:val="1329"/>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t xml:space="preserve">附件6：</w:t>
      </w:r>
      <w:r/>
    </w:p>
    <w:p>
      <w:pPr>
        <w:pStyle w:val="1329"/>
        <w:jc w:val="center"/>
        <w:spacing w:before="156" w:after="156" w:line="440" w:lineRule="exact"/>
        <w:rPr>
          <w:rFonts w:hint="eastAsia" w:ascii="宋体" w:hAnsi="宋体" w:eastAsia="宋体" w:cs="宋体"/>
          <w:b/>
          <w:highlight w:val="none"/>
        </w:rPr>
      </w:pPr>
      <w:r>
        <w:rPr>
          <w:rFonts w:hint="eastAsia" w:ascii="宋体" w:hAnsi="宋体" w:eastAsia="宋体" w:cs="宋体"/>
          <w:b/>
          <w:highlight w:val="none"/>
        </w:rPr>
        <w:t xml:space="preserve">承包人主要施工管理人员表</w:t>
      </w:r>
      <w:r/>
    </w:p>
    <w:tbl>
      <w:tblPr>
        <w:tblStyle w:val="881"/>
        <w:tblW w:w="92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770"/>
        <w:gridCol w:w="1341"/>
        <w:gridCol w:w="1072"/>
        <w:gridCol w:w="1072"/>
        <w:gridCol w:w="4022"/>
      </w:tblGrid>
      <w:tr>
        <w:trPr>
          <w:jc w:val="center"/>
          <w:trHeight w:val="478"/>
        </w:trPr>
        <w:tc>
          <w:tcPr>
            <w:tcBorders>
              <w:top w:val="single" w:color="auto" w:sz="12" w:space="0"/>
              <w:bottom w:val="single" w:color="auto" w:sz="6" w:space="0"/>
            </w:tcBorders>
            <w:tcW w:w="1770"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    称</w:t>
            </w:r>
            <w:r/>
          </w:p>
        </w:tc>
        <w:tc>
          <w:tcPr>
            <w:tcBorders>
              <w:top w:val="single" w:color="auto" w:sz="12" w:space="0"/>
              <w:bottom w:val="single" w:color="auto" w:sz="6" w:space="0"/>
            </w:tcBorders>
            <w:tcW w:w="1341"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p>
        </w:tc>
        <w:tc>
          <w:tcPr>
            <w:tcBorders>
              <w:top w:val="single" w:color="auto" w:sz="12" w:space="0"/>
              <w:bottom w:val="single" w:color="auto" w:sz="6" w:space="0"/>
            </w:tcBorders>
            <w:tcW w:w="1072"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职务</w:t>
            </w:r>
            <w:r/>
          </w:p>
        </w:tc>
        <w:tc>
          <w:tcPr>
            <w:tcBorders>
              <w:top w:val="single" w:color="auto" w:sz="12" w:space="0"/>
              <w:bottom w:val="single" w:color="auto" w:sz="6" w:space="0"/>
            </w:tcBorders>
            <w:tcW w:w="1072"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职称</w:t>
            </w:r>
            <w:r/>
          </w:p>
        </w:tc>
        <w:tc>
          <w:tcPr>
            <w:tcBorders>
              <w:top w:val="single" w:color="auto" w:sz="12" w:space="0"/>
              <w:bottom w:val="single" w:color="auto" w:sz="6" w:space="0"/>
            </w:tcBorders>
            <w:tcW w:w="4022"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主要资历、经验及承担过的项目</w:t>
            </w:r>
            <w:r/>
          </w:p>
        </w:tc>
      </w:tr>
      <w:tr>
        <w:trPr>
          <w:jc w:val="center"/>
          <w:trHeight w:val="494"/>
        </w:trPr>
        <w:tc>
          <w:tcPr>
            <w:gridSpan w:val="5"/>
            <w:tcBorders>
              <w:top w:val="single" w:color="auto" w:sz="6" w:space="0"/>
              <w:bottom w:val="single" w:color="auto" w:sz="6" w:space="0"/>
            </w:tcBorders>
            <w:tcW w:w="9277"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一、总部人员</w:t>
            </w:r>
            <w:r/>
          </w:p>
        </w:tc>
      </w:tr>
      <w:tr>
        <w:trPr>
          <w:jc w:val="center"/>
          <w:trHeight w:val="463"/>
        </w:trPr>
        <w:tc>
          <w:tcPr>
            <w:tcBorders>
              <w:top w:val="none" w:color="000000" w:sz="4" w:space="0"/>
              <w:bottom w:val="none" w:color="000000" w:sz="4" w:space="0"/>
            </w:tcBorders>
            <w:tcW w:w="1770"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项目主管</w:t>
            </w:r>
            <w:r/>
          </w:p>
        </w:tc>
        <w:tc>
          <w:tcPr>
            <w:tcBorders>
              <w:top w:val="none" w:color="000000" w:sz="4" w:space="0"/>
            </w:tcBorders>
            <w:tcW w:w="1341"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402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Borders>
              <w:top w:val="single" w:color="auto" w:sz="6" w:space="0"/>
              <w:bottom w:val="none" w:color="000000" w:sz="4" w:space="0"/>
            </w:tcBorders>
            <w:tcW w:w="1770"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41"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Borders>
              <w:top w:val="none" w:color="000000" w:sz="4" w:space="0"/>
              <w:bottom w:val="none" w:color="000000" w:sz="4" w:space="0"/>
            </w:tcBorders>
            <w:tcW w:w="1770"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其他人员</w:t>
            </w:r>
            <w:r/>
          </w:p>
        </w:tc>
        <w:tc>
          <w:tcPr>
            <w:tcW w:w="1341"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Borders>
              <w:top w:val="none" w:color="000000" w:sz="4" w:space="0"/>
              <w:bottom w:val="none" w:color="000000" w:sz="4" w:space="0"/>
            </w:tcBorders>
            <w:tcW w:w="1770"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41"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gridSpan w:val="5"/>
            <w:tcBorders>
              <w:top w:val="single" w:color="auto" w:sz="6" w:space="0"/>
              <w:bottom w:val="single" w:color="auto" w:sz="6" w:space="0"/>
            </w:tcBorders>
            <w:tcW w:w="9277"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二、现场人员</w:t>
            </w:r>
            <w:r/>
          </w:p>
        </w:tc>
      </w:tr>
      <w:tr>
        <w:trPr>
          <w:jc w:val="center"/>
          <w:trHeight w:val="463"/>
        </w:trPr>
        <w:tc>
          <w:tcPr>
            <w:tcBorders>
              <w:top w:val="single" w:color="auto" w:sz="6" w:space="0"/>
              <w:bottom w:val="single" w:color="auto" w:sz="6" w:space="0"/>
            </w:tcBorders>
            <w:tcW w:w="1770"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项目经理</w:t>
            </w:r>
            <w:r/>
          </w:p>
        </w:tc>
        <w:tc>
          <w:tcPr>
            <w:tcW w:w="1341"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Borders>
              <w:top w:val="single" w:color="auto" w:sz="6" w:space="0"/>
              <w:bottom w:val="single" w:color="auto" w:sz="6" w:space="0"/>
            </w:tcBorders>
            <w:tcW w:w="1770"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项目副经理</w:t>
            </w:r>
            <w:r/>
          </w:p>
        </w:tc>
        <w:tc>
          <w:tcPr>
            <w:tcW w:w="1341"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Borders>
              <w:top w:val="single" w:color="auto" w:sz="6" w:space="0"/>
              <w:bottom w:val="single" w:color="auto" w:sz="6" w:space="0"/>
            </w:tcBorders>
            <w:tcW w:w="1770"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技术负责人</w:t>
            </w:r>
            <w:r/>
          </w:p>
        </w:tc>
        <w:tc>
          <w:tcPr>
            <w:tcW w:w="1341"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Borders>
              <w:top w:val="single" w:color="auto" w:sz="6" w:space="0"/>
              <w:bottom w:val="single" w:color="auto" w:sz="6" w:space="0"/>
            </w:tcBorders>
            <w:tcW w:w="1770"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造价管理</w:t>
            </w:r>
            <w:r/>
          </w:p>
        </w:tc>
        <w:tc>
          <w:tcPr>
            <w:tcW w:w="1341"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Borders>
              <w:top w:val="single" w:color="auto" w:sz="6" w:space="0"/>
              <w:bottom w:val="single" w:color="auto" w:sz="6" w:space="0"/>
            </w:tcBorders>
            <w:tcW w:w="1770"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质量管理</w:t>
            </w:r>
            <w:r/>
          </w:p>
        </w:tc>
        <w:tc>
          <w:tcPr>
            <w:tcW w:w="1341"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Borders>
              <w:top w:val="single" w:color="auto" w:sz="6" w:space="0"/>
              <w:bottom w:val="single" w:color="auto" w:sz="6" w:space="0"/>
            </w:tcBorders>
            <w:tcW w:w="1770"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材料管理</w:t>
            </w:r>
            <w:r/>
          </w:p>
        </w:tc>
        <w:tc>
          <w:tcPr>
            <w:tcW w:w="1341"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Borders>
              <w:top w:val="single" w:color="auto" w:sz="6" w:space="0"/>
              <w:bottom w:val="single" w:color="auto" w:sz="6" w:space="0"/>
            </w:tcBorders>
            <w:tcW w:w="1770"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计划管理</w:t>
            </w:r>
            <w:r/>
          </w:p>
        </w:tc>
        <w:tc>
          <w:tcPr>
            <w:tcW w:w="1341"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Borders>
              <w:top w:val="single" w:color="auto" w:sz="6" w:space="0"/>
              <w:bottom w:val="single" w:color="auto" w:sz="6" w:space="0"/>
            </w:tcBorders>
            <w:tcW w:w="1770"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安全管理</w:t>
            </w:r>
            <w:r/>
          </w:p>
        </w:tc>
        <w:tc>
          <w:tcPr>
            <w:tcW w:w="1341"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Borders>
              <w:top w:val="single" w:color="auto" w:sz="6" w:space="0"/>
            </w:tcBorders>
            <w:tcW w:w="1770" w:type="dxa"/>
            <w:vAlign w:val="center"/>
            <w:vMerge w:val="restart"/>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其他人员</w:t>
            </w:r>
            <w:r/>
          </w:p>
        </w:tc>
        <w:tc>
          <w:tcPr>
            <w:tcW w:w="1341"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W w:w="1770" w:type="dxa"/>
            <w:vAlign w:val="center"/>
            <w:vMerge w:val="continue"/>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none" w:color="000000" w:sz="4" w:space="0"/>
            </w:tcBorders>
            <w:tcW w:w="1341"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none" w:color="000000" w:sz="4" w:space="0"/>
            </w:tcBorders>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none" w:color="000000" w:sz="4" w:space="0"/>
            </w:tcBorders>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none" w:color="000000" w:sz="4" w:space="0"/>
            </w:tcBorders>
            <w:tcW w:w="402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W w:w="1770" w:type="dxa"/>
            <w:vAlign w:val="center"/>
            <w:vMerge w:val="continue"/>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41"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W w:w="1770" w:type="dxa"/>
            <w:vAlign w:val="center"/>
            <w:vMerge w:val="continue"/>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41"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63"/>
        </w:trPr>
        <w:tc>
          <w:tcPr>
            <w:tcW w:w="1770" w:type="dxa"/>
            <w:vAlign w:val="center"/>
            <w:vMerge w:val="continue"/>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41"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02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94"/>
        </w:trPr>
        <w:tc>
          <w:tcPr>
            <w:tcBorders>
              <w:bottom w:val="single" w:color="auto" w:sz="12" w:space="0"/>
            </w:tcBorders>
            <w:tcW w:w="1770" w:type="dxa"/>
            <w:vAlign w:val="center"/>
            <w:vMerge w:val="continue"/>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single" w:color="auto" w:sz="12" w:space="0"/>
            </w:tcBorders>
            <w:tcW w:w="1341"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single" w:color="auto" w:sz="12" w:space="0"/>
            </w:tcBorders>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single" w:color="auto" w:sz="12" w:space="0"/>
            </w:tcBorders>
            <w:tcW w:w="107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single" w:color="auto" w:sz="12" w:space="0"/>
            </w:tcBorders>
            <w:tcW w:w="4022"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329"/>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t xml:space="preserve">附件7：</w:t>
      </w:r>
      <w:r/>
    </w:p>
    <w:p>
      <w:pPr>
        <w:pStyle w:val="1329"/>
        <w:jc w:val="center"/>
        <w:spacing w:before="156" w:after="156" w:line="440" w:lineRule="exact"/>
        <w:rPr>
          <w:rFonts w:hint="eastAsia" w:ascii="宋体" w:hAnsi="宋体" w:eastAsia="宋体" w:cs="宋体"/>
          <w:b/>
          <w:highlight w:val="none"/>
        </w:rPr>
      </w:pPr>
      <w:r>
        <w:rPr>
          <w:rFonts w:hint="eastAsia" w:ascii="宋体" w:hAnsi="宋体" w:eastAsia="宋体" w:cs="宋体"/>
          <w:b/>
          <w:highlight w:val="none"/>
        </w:rPr>
        <w:t xml:space="preserve">分包人主要施工管理人员表</w:t>
      </w:r>
      <w:r/>
    </w:p>
    <w:tbl>
      <w:tblPr>
        <w:tblStyle w:val="881"/>
        <w:tblW w:w="951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15"/>
        <w:gridCol w:w="1376"/>
        <w:gridCol w:w="1100"/>
        <w:gridCol w:w="1100"/>
        <w:gridCol w:w="4126"/>
      </w:tblGrid>
      <w:tr>
        <w:trPr>
          <w:jc w:val="center"/>
          <w:trHeight w:val="472"/>
        </w:trPr>
        <w:tc>
          <w:tcPr>
            <w:tcBorders>
              <w:top w:val="single" w:color="auto" w:sz="12" w:space="0"/>
              <w:bottom w:val="single" w:color="auto" w:sz="6" w:space="0"/>
            </w:tcBorders>
            <w:tcW w:w="1815"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    称</w:t>
            </w:r>
            <w:r/>
          </w:p>
        </w:tc>
        <w:tc>
          <w:tcPr>
            <w:tcBorders>
              <w:top w:val="single" w:color="auto" w:sz="12" w:space="0"/>
              <w:bottom w:val="single" w:color="auto" w:sz="6" w:space="0"/>
            </w:tcBorders>
            <w:tcW w:w="1376"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p>
        </w:tc>
        <w:tc>
          <w:tcPr>
            <w:tcBorders>
              <w:top w:val="single" w:color="auto" w:sz="12" w:space="0"/>
              <w:bottom w:val="single" w:color="auto" w:sz="6" w:space="0"/>
            </w:tcBorders>
            <w:tcW w:w="1100"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职务</w:t>
            </w:r>
            <w:r/>
          </w:p>
        </w:tc>
        <w:tc>
          <w:tcPr>
            <w:tcBorders>
              <w:top w:val="single" w:color="auto" w:sz="12" w:space="0"/>
              <w:bottom w:val="single" w:color="auto" w:sz="6" w:space="0"/>
            </w:tcBorders>
            <w:tcW w:w="1100"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职称</w:t>
            </w:r>
            <w:r/>
          </w:p>
        </w:tc>
        <w:tc>
          <w:tcPr>
            <w:tcBorders>
              <w:top w:val="single" w:color="auto" w:sz="12" w:space="0"/>
              <w:bottom w:val="single" w:color="auto" w:sz="6" w:space="0"/>
            </w:tcBorders>
            <w:tcW w:w="4126"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主要资历、经验及承担过的项目</w:t>
            </w:r>
            <w:r/>
          </w:p>
        </w:tc>
      </w:tr>
      <w:tr>
        <w:trPr>
          <w:jc w:val="center"/>
          <w:trHeight w:val="487"/>
        </w:trPr>
        <w:tc>
          <w:tcPr>
            <w:gridSpan w:val="5"/>
            <w:tcBorders>
              <w:top w:val="single" w:color="auto" w:sz="6" w:space="0"/>
              <w:bottom w:val="single" w:color="auto" w:sz="6" w:space="0"/>
            </w:tcBorders>
            <w:tcW w:w="9517"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一、总部人员</w:t>
            </w:r>
            <w:r/>
          </w:p>
        </w:tc>
      </w:tr>
      <w:tr>
        <w:trPr>
          <w:jc w:val="center"/>
          <w:trHeight w:val="457"/>
        </w:trPr>
        <w:tc>
          <w:tcPr>
            <w:tcBorders>
              <w:top w:val="none" w:color="000000" w:sz="4" w:space="0"/>
              <w:bottom w:val="none" w:color="000000" w:sz="4" w:space="0"/>
            </w:tcBorders>
            <w:tcW w:w="1815"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项目主管</w:t>
            </w:r>
            <w:r/>
          </w:p>
        </w:tc>
        <w:tc>
          <w:tcPr>
            <w:tcBorders>
              <w:top w:val="none" w:color="000000" w:sz="4" w:space="0"/>
            </w:tcBorders>
            <w:tcW w:w="137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412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Borders>
              <w:top w:val="single" w:color="auto" w:sz="6" w:space="0"/>
              <w:bottom w:val="none" w:color="000000" w:sz="4" w:space="0"/>
            </w:tcBorders>
            <w:tcW w:w="1815"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7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Borders>
              <w:top w:val="none" w:color="000000" w:sz="4" w:space="0"/>
              <w:bottom w:val="none" w:color="000000" w:sz="4" w:space="0"/>
            </w:tcBorders>
            <w:tcW w:w="1815"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其他人员</w:t>
            </w:r>
            <w:r/>
          </w:p>
        </w:tc>
        <w:tc>
          <w:tcPr>
            <w:tcW w:w="137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Borders>
              <w:top w:val="none" w:color="000000" w:sz="4" w:space="0"/>
              <w:bottom w:val="none" w:color="000000" w:sz="4" w:space="0"/>
            </w:tcBorders>
            <w:tcW w:w="1815"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7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gridSpan w:val="5"/>
            <w:tcBorders>
              <w:top w:val="single" w:color="auto" w:sz="6" w:space="0"/>
              <w:bottom w:val="single" w:color="auto" w:sz="6" w:space="0"/>
            </w:tcBorders>
            <w:tcW w:w="9517"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二、现场人员</w:t>
            </w:r>
            <w:r/>
          </w:p>
        </w:tc>
      </w:tr>
      <w:tr>
        <w:trPr>
          <w:jc w:val="center"/>
          <w:trHeight w:val="457"/>
        </w:trPr>
        <w:tc>
          <w:tcPr>
            <w:tcBorders>
              <w:top w:val="single" w:color="auto" w:sz="6" w:space="0"/>
              <w:bottom w:val="single" w:color="auto" w:sz="6" w:space="0"/>
            </w:tcBorders>
            <w:tcW w:w="1815"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项目经理</w:t>
            </w:r>
            <w:r/>
          </w:p>
        </w:tc>
        <w:tc>
          <w:tcPr>
            <w:tcW w:w="137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Borders>
              <w:top w:val="single" w:color="auto" w:sz="6" w:space="0"/>
              <w:bottom w:val="single" w:color="auto" w:sz="6" w:space="0"/>
            </w:tcBorders>
            <w:tcW w:w="1815"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项目副经理</w:t>
            </w:r>
            <w:r/>
          </w:p>
        </w:tc>
        <w:tc>
          <w:tcPr>
            <w:tcW w:w="137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Borders>
              <w:top w:val="single" w:color="auto" w:sz="6" w:space="0"/>
              <w:bottom w:val="single" w:color="auto" w:sz="6" w:space="0"/>
            </w:tcBorders>
            <w:tcW w:w="1815"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技术负责人</w:t>
            </w:r>
            <w:r/>
          </w:p>
        </w:tc>
        <w:tc>
          <w:tcPr>
            <w:tcW w:w="137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Borders>
              <w:top w:val="single" w:color="auto" w:sz="6" w:space="0"/>
              <w:bottom w:val="single" w:color="auto" w:sz="6" w:space="0"/>
            </w:tcBorders>
            <w:tcW w:w="1815"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造价管理</w:t>
            </w:r>
            <w:r/>
          </w:p>
        </w:tc>
        <w:tc>
          <w:tcPr>
            <w:tcW w:w="137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Borders>
              <w:top w:val="single" w:color="auto" w:sz="6" w:space="0"/>
              <w:bottom w:val="single" w:color="auto" w:sz="6" w:space="0"/>
            </w:tcBorders>
            <w:tcW w:w="1815"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质量管理</w:t>
            </w:r>
            <w:r/>
          </w:p>
        </w:tc>
        <w:tc>
          <w:tcPr>
            <w:tcW w:w="137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Borders>
              <w:top w:val="single" w:color="auto" w:sz="6" w:space="0"/>
              <w:bottom w:val="single" w:color="auto" w:sz="6" w:space="0"/>
            </w:tcBorders>
            <w:tcW w:w="1815"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材料管理</w:t>
            </w:r>
            <w:r/>
          </w:p>
        </w:tc>
        <w:tc>
          <w:tcPr>
            <w:tcW w:w="137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Borders>
              <w:top w:val="single" w:color="auto" w:sz="6" w:space="0"/>
              <w:bottom w:val="single" w:color="auto" w:sz="6" w:space="0"/>
            </w:tcBorders>
            <w:tcW w:w="1815"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计划管理</w:t>
            </w:r>
            <w:r/>
          </w:p>
        </w:tc>
        <w:tc>
          <w:tcPr>
            <w:tcW w:w="137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Borders>
              <w:top w:val="single" w:color="auto" w:sz="6" w:space="0"/>
              <w:bottom w:val="single" w:color="auto" w:sz="6" w:space="0"/>
            </w:tcBorders>
            <w:tcW w:w="1815" w:type="dxa"/>
            <w:vAlign w:val="center"/>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安全管理</w:t>
            </w:r>
            <w:r/>
          </w:p>
        </w:tc>
        <w:tc>
          <w:tcPr>
            <w:tcW w:w="137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Borders>
              <w:top w:val="single" w:color="auto" w:sz="6" w:space="0"/>
            </w:tcBorders>
            <w:tcW w:w="1815" w:type="dxa"/>
            <w:vAlign w:val="center"/>
            <w:vMerge w:val="restart"/>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其他人员</w:t>
            </w:r>
            <w:r/>
          </w:p>
        </w:tc>
        <w:tc>
          <w:tcPr>
            <w:tcW w:w="137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W w:w="1815" w:type="dxa"/>
            <w:vAlign w:val="center"/>
            <w:vMerge w:val="continue"/>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none" w:color="000000" w:sz="4" w:space="0"/>
            </w:tcBorders>
            <w:tcW w:w="137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none" w:color="000000" w:sz="4" w:space="0"/>
            </w:tcBorders>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none" w:color="000000" w:sz="4" w:space="0"/>
            </w:tcBorders>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none" w:color="000000" w:sz="4" w:space="0"/>
            </w:tcBorders>
            <w:tcW w:w="412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W w:w="1815" w:type="dxa"/>
            <w:vAlign w:val="center"/>
            <w:vMerge w:val="continue"/>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7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W w:w="1815" w:type="dxa"/>
            <w:vAlign w:val="center"/>
            <w:vMerge w:val="continue"/>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7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7"/>
        </w:trPr>
        <w:tc>
          <w:tcPr>
            <w:tcW w:w="1815" w:type="dxa"/>
            <w:vAlign w:val="center"/>
            <w:vMerge w:val="continue"/>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7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2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7"/>
        </w:trPr>
        <w:tc>
          <w:tcPr>
            <w:tcBorders>
              <w:bottom w:val="single" w:color="auto" w:sz="12" w:space="0"/>
            </w:tcBorders>
            <w:tcW w:w="1815" w:type="dxa"/>
            <w:vAlign w:val="center"/>
            <w:vMerge w:val="continue"/>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single" w:color="auto" w:sz="12" w:space="0"/>
            </w:tcBorders>
            <w:tcW w:w="137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single" w:color="auto" w:sz="12" w:space="0"/>
            </w:tcBorders>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single" w:color="auto" w:sz="12" w:space="0"/>
            </w:tcBorders>
            <w:tcW w:w="1100"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bottom w:val="single" w:color="auto" w:sz="12" w:space="0"/>
            </w:tcBorders>
            <w:tcW w:w="4126" w:type="dxa"/>
            <w:vAlign w:val="center"/>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329"/>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bookmarkStart w:id="1509" w:name="_Toc267261701"/>
      <w:r>
        <w:rPr>
          <w:rFonts w:hint="eastAsia" w:ascii="宋体" w:hAnsi="宋体" w:eastAsia="宋体" w:cs="宋体"/>
          <w:sz w:val="21"/>
          <w:szCs w:val="21"/>
          <w:highlight w:val="none"/>
        </w:rPr>
        <w:t xml:space="preserve">附</w:t>
      </w:r>
      <w:bookmarkStart w:id="1510" w:name="_Toc296944570"/>
      <w:r/>
      <w:bookmarkStart w:id="1511" w:name="_Toc296347230"/>
      <w:r/>
      <w:bookmarkStart w:id="1512" w:name="_Toc296891271"/>
      <w:r/>
      <w:bookmarkStart w:id="1513" w:name="_Toc296891059"/>
      <w:r/>
      <w:bookmarkStart w:id="1514" w:name="_Toc296346732"/>
      <w:r/>
      <w:bookmarkStart w:id="1515" w:name="_Toc296503231"/>
      <w:r>
        <w:rPr>
          <w:rFonts w:hint="eastAsia" w:ascii="宋体" w:hAnsi="宋体" w:eastAsia="宋体" w:cs="宋体"/>
          <w:sz w:val="21"/>
          <w:szCs w:val="21"/>
          <w:highlight w:val="none"/>
        </w:rPr>
        <w:t xml:space="preserve">件8：</w:t>
      </w:r>
      <w:bookmarkEnd w:id="1509"/>
      <w:r/>
      <w:bookmarkEnd w:id="1510"/>
      <w:r/>
      <w:bookmarkEnd w:id="1511"/>
      <w:r/>
      <w:bookmarkEnd w:id="1512"/>
      <w:r/>
      <w:bookmarkEnd w:id="1513"/>
      <w:r/>
      <w:bookmarkEnd w:id="1514"/>
      <w:r/>
      <w:bookmarkEnd w:id="1515"/>
      <w:r/>
      <w:r/>
    </w:p>
    <w:p>
      <w:pPr>
        <w:pStyle w:val="1329"/>
        <w:jc w:val="center"/>
        <w:spacing w:before="156" w:after="156" w:line="440" w:lineRule="exact"/>
        <w:rPr>
          <w:rFonts w:hint="eastAsia" w:ascii="宋体" w:hAnsi="宋体" w:eastAsia="宋体" w:cs="宋体"/>
          <w:b/>
          <w:highlight w:val="none"/>
        </w:rPr>
      </w:pPr>
      <w:r>
        <w:rPr>
          <w:rFonts w:hint="eastAsia" w:ascii="宋体" w:hAnsi="宋体" w:eastAsia="宋体" w:cs="宋体"/>
          <w:b/>
          <w:highlight w:val="none"/>
        </w:rPr>
        <w:t xml:space="preserve">履约担保</w:t>
      </w:r>
      <w:r/>
    </w:p>
    <w:p>
      <w:pPr>
        <w:pStyle w:val="1329"/>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（发包人名称）：</w:t>
      </w:r>
      <w:r/>
    </w:p>
    <w:p>
      <w:pPr>
        <w:pStyle w:val="1329"/>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32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鉴于（发包人名称，以下简称“发包人”）与（承包人名称）（以下称“承包人”）于年月日就（工程名称）施工及有关事项协商一致共同签订《建设工程施工合同》。我方愿意无条件地、不可撤销地就承包人履行与你方签订的合同，向你方提供连带责任担保。 </w:t>
      </w:r>
      <w:r/>
    </w:p>
    <w:p>
      <w:pPr>
        <w:pStyle w:val="132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担保金额人民币（大写）元（¥）。</w:t>
      </w:r>
      <w:r/>
    </w:p>
    <w:p>
      <w:pPr>
        <w:pStyle w:val="132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担保有效期自你方与承包人签订的合同生效之日起至你方签发或应签发工程接收证书之日止。</w:t>
      </w:r>
      <w:r/>
    </w:p>
    <w:p>
      <w:pPr>
        <w:pStyle w:val="132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在本担保有效期内，因承包人违反合同约定的义务给你方造成经济损失时，我方在收到你方以书面形式提出的在担保金额内的赔偿要求后，在7天内无条件支付。</w:t>
      </w:r>
      <w:r/>
    </w:p>
    <w:p>
      <w:pPr>
        <w:pStyle w:val="132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 你方和承包人按合同约定变更合同时，我方承担本担保规定的义务不变。</w:t>
      </w:r>
      <w:r/>
    </w:p>
    <w:p>
      <w:pPr>
        <w:pStyle w:val="132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 因本保函发生的纠纷，可由双方协商解决，协商不成的，任何一方均可提请仲裁委员会仲裁。</w:t>
      </w:r>
      <w:r/>
    </w:p>
    <w:p>
      <w:pPr>
        <w:pStyle w:val="132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 本保函自我方法定代表人（或其授权代理人）签字并加盖公章之日起生效。</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担 保 人：（盖单位章）</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法定代表人或其委托代理人：（签字）</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邮政编码：</w:t>
      </w:r>
      <w:r/>
    </w:p>
    <w:p>
      <w:pPr>
        <w:pStyle w:val="1329"/>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电    话：</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    真：</w:t>
      </w:r>
      <w:r/>
    </w:p>
    <w:p>
      <w:pPr>
        <w:pStyle w:val="1329"/>
        <w:jc w:val="left"/>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r>
      <w:r/>
    </w:p>
    <w:p>
      <w:pPr>
        <w:pStyle w:val="1329"/>
        <w:ind w:left="1466" w:firstLine="371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p>
    <w:p>
      <w:pPr>
        <w:pStyle w:val="1329"/>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br w:type="page" w:clear="all"/>
      </w:r>
      <w:r>
        <w:rPr>
          <w:rFonts w:hint="eastAsia" w:ascii="宋体" w:hAnsi="宋体" w:eastAsia="宋体" w:cs="宋体"/>
          <w:sz w:val="21"/>
          <w:szCs w:val="21"/>
          <w:highlight w:val="none"/>
        </w:rPr>
        <w:t xml:space="preserve">附件9：</w:t>
      </w:r>
      <w:r/>
    </w:p>
    <w:p>
      <w:pPr>
        <w:pStyle w:val="1329"/>
        <w:jc w:val="center"/>
        <w:spacing w:before="156" w:after="156" w:line="440" w:lineRule="exact"/>
        <w:rPr>
          <w:rFonts w:hint="eastAsia" w:ascii="宋体" w:hAnsi="宋体" w:eastAsia="宋体" w:cs="宋体"/>
          <w:b/>
          <w:highlight w:val="none"/>
        </w:rPr>
      </w:pPr>
      <w:r>
        <w:rPr>
          <w:rFonts w:hint="eastAsia" w:ascii="宋体" w:hAnsi="宋体" w:eastAsia="宋体" w:cs="宋体"/>
          <w:b/>
          <w:highlight w:val="none"/>
        </w:rPr>
        <w:t xml:space="preserve">预付款担保</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  （发包人名称）：</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                 （承包人名称）（以下称“承包人”）与</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（发包人名称）（以下简称“发包人”）</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于年   月  日签订的                   （工程名称）《建设工程施工合同》，承包人按约定的金额向你方提交一份预付款担保，即有权得到你方支付相等金额的预付款。我方愿意就你方提供给承包人的预付款为承包人提供连带责任担保。</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担保金额人民币（大写）                元（¥             ）。</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担保有效期自预付款支付给承包人起生效，至你方签发的进度款支付证书说明已完全扣清止。</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 你方和承包人按合同约定变更合同时，我方承担本保函规定的义务不变。</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 因本保函发生的纠纷，可由双方协商解决，协商不成的，任何一方均可提请        仲裁委员会仲裁。</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 本保函自我方法定代表人（或其授权代理人）签字并加盖公章之日起生效。</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担保人：                （盖单位章）</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     （签字）</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w:t>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邮政编码：</w:t>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w:t>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    真：</w:t>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年      月      日</w:t>
      </w:r>
      <w:r/>
    </w:p>
    <w:p>
      <w:pPr>
        <w:pStyle w:val="13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t xml:space="preserve">附件10:</w:t>
      </w:r>
      <w:r/>
    </w:p>
    <w:p>
      <w:pPr>
        <w:pStyle w:val="1329"/>
        <w:jc w:val="center"/>
        <w:spacing w:line="440" w:lineRule="exact"/>
        <w:rPr>
          <w:rFonts w:hint="eastAsia" w:ascii="宋体" w:hAnsi="宋体" w:eastAsia="宋体" w:cs="宋体"/>
          <w:sz w:val="21"/>
          <w:szCs w:val="21"/>
          <w:highlight w:val="none"/>
        </w:rPr>
      </w:pPr>
      <w:r>
        <w:rPr>
          <w:rFonts w:hint="eastAsia" w:ascii="宋体" w:hAnsi="宋体" w:eastAsia="宋体" w:cs="宋体"/>
          <w:b/>
          <w:highlight w:val="none"/>
        </w:rPr>
        <w:t xml:space="preserve">支付担保</w:t>
      </w:r>
      <w:r/>
    </w:p>
    <w:p>
      <w:pPr>
        <w:pStyle w:val="1329"/>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w:t>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鉴于你方作为承包人已经与（发包人名称）（以下称“发包人”）于年月日签订了（工程名称）《建设工程施工合同》（以下称“主合同”），应发包人的申请，我方愿就发包人履行主合同约定的工程款支付义务以保证的方式向你方提供如下担保：</w:t>
      </w:r>
      <w:r/>
    </w:p>
    <w:p>
      <w:pPr>
        <w:pStyle w:val="1329"/>
        <w:ind w:firstLine="480"/>
        <w:jc w:val="left"/>
        <w:spacing w:line="360" w:lineRule="auto"/>
        <w:rPr>
          <w:rFonts w:hint="eastAsia" w:ascii="宋体" w:hAnsi="宋体" w:eastAsia="宋体" w:cs="宋体"/>
          <w:b/>
          <w:highlight w:val="none"/>
        </w:rPr>
        <w:outlineLvl w:val="0"/>
      </w:pPr>
      <w:r/>
      <w:bookmarkStart w:id="1516" w:name="_Toc41327843"/>
      <w:r/>
      <w:bookmarkStart w:id="1517" w:name="_Toc54867187"/>
      <w:r/>
      <w:bookmarkStart w:id="1518" w:name="_Toc119597924"/>
      <w:r>
        <w:rPr>
          <w:rFonts w:hint="eastAsia" w:ascii="宋体" w:hAnsi="宋体" w:eastAsia="宋体" w:cs="宋体"/>
          <w:b/>
          <w:highlight w:val="none"/>
        </w:rPr>
        <w:t xml:space="preserve">一、保证的范围及保证金额</w:t>
      </w:r>
      <w:bookmarkEnd w:id="1516"/>
      <w:r/>
      <w:bookmarkEnd w:id="1517"/>
      <w:r/>
      <w:bookmarkEnd w:id="1518"/>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我方的保证范围是主合同约定的工程款。</w:t>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本保函所称主合同约定的工程款是指主合同约定的除工程质量保证金以外的合同价款。</w:t>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我方保证的金额是主合同约定的工程款的%，数额最高不超过人民币元（大写：）。</w:t>
      </w:r>
      <w:r/>
    </w:p>
    <w:p>
      <w:pPr>
        <w:pStyle w:val="1329"/>
        <w:ind w:firstLine="480"/>
        <w:jc w:val="left"/>
        <w:spacing w:line="360" w:lineRule="auto"/>
        <w:rPr>
          <w:rFonts w:hint="eastAsia" w:ascii="宋体" w:hAnsi="宋体" w:eastAsia="宋体" w:cs="宋体"/>
          <w:sz w:val="30"/>
          <w:szCs w:val="30"/>
          <w:highlight w:val="none"/>
        </w:rPr>
        <w:outlineLvl w:val="0"/>
      </w:pPr>
      <w:r/>
      <w:bookmarkStart w:id="1519" w:name="_Toc119597925"/>
      <w:r/>
      <w:bookmarkStart w:id="1520" w:name="_Toc41327844"/>
      <w:r/>
      <w:bookmarkStart w:id="1521" w:name="_Toc54867188"/>
      <w:r>
        <w:rPr>
          <w:rFonts w:hint="eastAsia" w:ascii="宋体" w:hAnsi="宋体" w:eastAsia="宋体" w:cs="宋体"/>
          <w:b/>
          <w:highlight w:val="none"/>
        </w:rPr>
        <w:t xml:space="preserve">二、保证的方式及保证期间</w:t>
      </w:r>
      <w:bookmarkEnd w:id="1519"/>
      <w:r/>
      <w:bookmarkEnd w:id="1520"/>
      <w:r/>
      <w:bookmarkEnd w:id="1521"/>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我方保证的方式为：连带责任保证。</w:t>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我方保证的期间为：自本合同生效之日起至主合同约定的工程款支付完毕之日后日内。</w:t>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你方与发包人协议变更工程款支付日期的，经我方书面同意后，保证期间按照变更后的支付日期做相应调整。</w:t>
      </w:r>
      <w:r/>
    </w:p>
    <w:p>
      <w:pPr>
        <w:pStyle w:val="1329"/>
        <w:ind w:firstLine="480"/>
        <w:jc w:val="left"/>
        <w:spacing w:line="360" w:lineRule="auto"/>
        <w:rPr>
          <w:rFonts w:hint="eastAsia" w:ascii="宋体" w:hAnsi="宋体" w:eastAsia="宋体" w:cs="宋体"/>
          <w:sz w:val="30"/>
          <w:szCs w:val="30"/>
          <w:highlight w:val="none"/>
        </w:rPr>
        <w:outlineLvl w:val="0"/>
      </w:pPr>
      <w:r/>
      <w:bookmarkStart w:id="1522" w:name="_Toc54867189"/>
      <w:r/>
      <w:bookmarkStart w:id="1523" w:name="_Toc41327845"/>
      <w:r/>
      <w:bookmarkStart w:id="1524" w:name="_Toc119597926"/>
      <w:r>
        <w:rPr>
          <w:rFonts w:hint="eastAsia" w:ascii="宋体" w:hAnsi="宋体" w:eastAsia="宋体" w:cs="宋体"/>
          <w:b/>
          <w:highlight w:val="none"/>
        </w:rPr>
        <w:t xml:space="preserve">三、承担保证责任的形式</w:t>
      </w:r>
      <w:bookmarkEnd w:id="1522"/>
      <w:r/>
      <w:bookmarkEnd w:id="1523"/>
      <w:r/>
      <w:bookmarkEnd w:id="1524"/>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我方承担保证责任的形式是代为支付。发包人未按主合同约定向你方支付工程款的，由我方在保证金额内代为支付。</w:t>
      </w:r>
      <w:r/>
    </w:p>
    <w:p>
      <w:pPr>
        <w:pStyle w:val="1329"/>
        <w:ind w:firstLine="480"/>
        <w:jc w:val="left"/>
        <w:spacing w:line="360" w:lineRule="auto"/>
        <w:rPr>
          <w:rFonts w:hint="eastAsia" w:ascii="宋体" w:hAnsi="宋体" w:eastAsia="宋体" w:cs="宋体"/>
          <w:b/>
          <w:highlight w:val="none"/>
        </w:rPr>
        <w:outlineLvl w:val="0"/>
      </w:pPr>
      <w:r/>
      <w:bookmarkStart w:id="1525" w:name="_Toc41327846"/>
      <w:r/>
      <w:bookmarkStart w:id="1526" w:name="_Toc119597927"/>
      <w:r/>
      <w:bookmarkStart w:id="1527" w:name="_Toc54867190"/>
      <w:r>
        <w:rPr>
          <w:rFonts w:hint="eastAsia" w:ascii="宋体" w:hAnsi="宋体" w:eastAsia="宋体" w:cs="宋体"/>
          <w:b/>
          <w:highlight w:val="none"/>
        </w:rPr>
        <w:t xml:space="preserve">四、代偿的安排</w:t>
      </w:r>
      <w:bookmarkEnd w:id="1525"/>
      <w:r/>
      <w:bookmarkEnd w:id="1526"/>
      <w:r/>
      <w:bookmarkEnd w:id="1527"/>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你方要求我方承担保证责任的，应向我方发出书面索赔通知及发包人未支付主合同约定工程款的证明材料。索赔通知应写明要求索赔的金额，支付款项应到达的账号。</w:t>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我方收到你方的书面索赔通知及相应的证明材料后７天内无条件支付。</w:t>
      </w:r>
      <w:r/>
    </w:p>
    <w:p>
      <w:pPr>
        <w:pStyle w:val="1329"/>
        <w:ind w:firstLine="480"/>
        <w:jc w:val="left"/>
        <w:spacing w:line="360" w:lineRule="auto"/>
        <w:rPr>
          <w:rFonts w:hint="eastAsia" w:ascii="宋体" w:hAnsi="宋体" w:eastAsia="宋体" w:cs="宋体"/>
          <w:b/>
          <w:highlight w:val="none"/>
        </w:rPr>
        <w:outlineLvl w:val="0"/>
      </w:pPr>
      <w:r/>
      <w:bookmarkStart w:id="1528" w:name="_Toc41327847"/>
      <w:r/>
      <w:bookmarkStart w:id="1529" w:name="_Toc119597928"/>
      <w:r/>
      <w:bookmarkStart w:id="1530" w:name="_Toc54867191"/>
      <w:r>
        <w:rPr>
          <w:rFonts w:hint="eastAsia" w:ascii="宋体" w:hAnsi="宋体" w:eastAsia="宋体" w:cs="宋体"/>
          <w:b/>
          <w:highlight w:val="none"/>
        </w:rPr>
        <w:t xml:space="preserve">五、保证责任的解除</w:t>
      </w:r>
      <w:bookmarkEnd w:id="1528"/>
      <w:r/>
      <w:bookmarkEnd w:id="1529"/>
      <w:r/>
      <w:bookmarkEnd w:id="1530"/>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在本保函承诺的保证期间内，你方未书面向我方主张保证责任的，自保证期间届满次日起，我方保证责任解除。</w:t>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发包人按主合同约定履行了工程款的全部支付义务的，自本保函承诺的保证期间届满次日起，我方保证责任解除。</w:t>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我方按照本保函向你方履行保证责任所支付金额达到本保函保证金额时，自我方向你方支付（支付款项从我方账户划出）之日起，保证责任即解除。</w:t>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 按照法律法规的规定或出现应解除我方保证责任的其他情形的，我方在本保函项下的保证责任亦解除。</w:t>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 我方解除保证责任后，你方应自我方保证责任解除之日起个工作日内，将本保函原件返还我方。</w:t>
      </w:r>
      <w:r/>
    </w:p>
    <w:p>
      <w:pPr>
        <w:pStyle w:val="1329"/>
        <w:ind w:firstLine="480"/>
        <w:jc w:val="left"/>
        <w:spacing w:line="360" w:lineRule="auto"/>
        <w:rPr>
          <w:rFonts w:hint="eastAsia" w:ascii="宋体" w:hAnsi="宋体" w:eastAsia="宋体" w:cs="宋体"/>
          <w:b/>
          <w:highlight w:val="none"/>
        </w:rPr>
        <w:outlineLvl w:val="0"/>
      </w:pPr>
      <w:r/>
      <w:bookmarkStart w:id="1531" w:name="_Toc41327848"/>
      <w:r/>
      <w:bookmarkStart w:id="1532" w:name="_Toc119597929"/>
      <w:r/>
      <w:bookmarkStart w:id="1533" w:name="_Toc54867192"/>
      <w:r>
        <w:rPr>
          <w:rFonts w:hint="eastAsia" w:ascii="宋体" w:hAnsi="宋体" w:eastAsia="宋体" w:cs="宋体"/>
          <w:b/>
          <w:highlight w:val="none"/>
        </w:rPr>
        <w:t xml:space="preserve">六、免责条款</w:t>
      </w:r>
      <w:bookmarkEnd w:id="1531"/>
      <w:r/>
      <w:bookmarkEnd w:id="1532"/>
      <w:r/>
      <w:bookmarkEnd w:id="1533"/>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因你方违约致使发包人不能履行义务的，我方不承担保证责任。</w:t>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依照法律法规的规定或你方与发包人的另行约定，免除发包人部分或全部义务的，我方亦免除其相应的保证责任。</w:t>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 因不可抗力造成发包人不能履行义务的，我方不承担保证责任。</w:t>
      </w:r>
      <w:r/>
    </w:p>
    <w:p>
      <w:pPr>
        <w:pStyle w:val="1329"/>
        <w:ind w:firstLine="480"/>
        <w:jc w:val="left"/>
        <w:spacing w:line="360" w:lineRule="auto"/>
        <w:rPr>
          <w:rFonts w:hint="eastAsia" w:ascii="宋体" w:hAnsi="宋体" w:eastAsia="宋体" w:cs="宋体"/>
          <w:b/>
          <w:highlight w:val="none"/>
        </w:rPr>
        <w:outlineLvl w:val="0"/>
      </w:pPr>
      <w:r/>
      <w:bookmarkStart w:id="1534" w:name="_Toc41327849"/>
      <w:r/>
      <w:bookmarkStart w:id="1535" w:name="_Toc119597930"/>
      <w:r/>
      <w:bookmarkStart w:id="1536" w:name="_Toc54867193"/>
      <w:r>
        <w:rPr>
          <w:rFonts w:hint="eastAsia" w:ascii="宋体" w:hAnsi="宋体" w:eastAsia="宋体" w:cs="宋体"/>
          <w:b/>
          <w:highlight w:val="none"/>
        </w:rPr>
        <w:t xml:space="preserve">七、争议解决</w:t>
      </w:r>
      <w:bookmarkEnd w:id="1534"/>
      <w:r/>
      <w:bookmarkEnd w:id="1535"/>
      <w:r/>
      <w:bookmarkEnd w:id="1536"/>
      <w:r/>
      <w:r/>
    </w:p>
    <w:p>
      <w:pPr>
        <w:pStyle w:val="1329"/>
        <w:ind w:firstLine="420"/>
        <w:spacing w:after="12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因本保函或本保函相关事项发生的纠纷，可由双方协商解决，协商不成的，按下列第种方式解决：</w:t>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（1）向仲裁委员会申请仲裁；</w:t>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（2）向人民法院起诉。</w:t>
      </w:r>
      <w:r/>
    </w:p>
    <w:p>
      <w:pPr>
        <w:pStyle w:val="1329"/>
        <w:ind w:firstLine="480"/>
        <w:jc w:val="left"/>
        <w:spacing w:line="360" w:lineRule="auto"/>
        <w:rPr>
          <w:rFonts w:hint="eastAsia" w:ascii="宋体" w:hAnsi="宋体" w:eastAsia="宋体" w:cs="宋体"/>
          <w:b/>
          <w:highlight w:val="none"/>
        </w:rPr>
        <w:outlineLvl w:val="0"/>
      </w:pPr>
      <w:r/>
      <w:bookmarkStart w:id="1537" w:name="_Toc41327850"/>
      <w:r/>
      <w:bookmarkStart w:id="1538" w:name="_Toc54867194"/>
      <w:r/>
      <w:bookmarkStart w:id="1539" w:name="_Toc119597931"/>
      <w:r>
        <w:rPr>
          <w:rFonts w:hint="eastAsia" w:ascii="宋体" w:hAnsi="宋体" w:eastAsia="宋体" w:cs="宋体"/>
          <w:b/>
          <w:highlight w:val="none"/>
        </w:rPr>
        <w:t xml:space="preserve">八、保函的生效</w:t>
      </w:r>
      <w:bookmarkEnd w:id="1537"/>
      <w:r/>
      <w:bookmarkEnd w:id="1538"/>
      <w:r/>
      <w:bookmarkEnd w:id="1539"/>
      <w:r/>
      <w:r/>
    </w:p>
    <w:p>
      <w:pPr>
        <w:pStyle w:val="132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本保函自我方法定代表人（或其授权代理人）签字并加盖公章之日起生效。</w:t>
      </w:r>
      <w:r/>
    </w:p>
    <w:p>
      <w:pPr>
        <w:pStyle w:val="1329"/>
        <w:ind w:right="60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担保人：（盖章）</w:t>
      </w:r>
      <w:r/>
    </w:p>
    <w:p>
      <w:pPr>
        <w:pStyle w:val="1329"/>
        <w:ind w:right="12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法定代表人或委托代理人：（签字）</w:t>
      </w:r>
      <w:r/>
    </w:p>
    <w:p>
      <w:pPr>
        <w:pStyle w:val="1329"/>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w:t>
      </w:r>
      <w:r/>
    </w:p>
    <w:p>
      <w:pPr>
        <w:pStyle w:val="1329"/>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邮政编码：</w:t>
      </w:r>
      <w:r/>
    </w:p>
    <w:p>
      <w:pPr>
        <w:pStyle w:val="1329"/>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    真：</w:t>
      </w:r>
      <w:r/>
    </w:p>
    <w:p>
      <w:pPr>
        <w:pStyle w:val="1329"/>
        <w:ind w:right="150" w:firstLine="504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p>
    <w:p>
      <w:pPr>
        <w:pStyle w:val="1329"/>
        <w:jc w:val="left"/>
        <w:spacing w:line="440" w:lineRule="exact"/>
        <w:rPr>
          <w:rFonts w:hint="eastAsia" w:ascii="宋体" w:hAnsi="宋体" w:eastAsia="宋体" w:cs="宋体"/>
          <w:sz w:val="21"/>
          <w:szCs w:val="21"/>
          <w:highlight w:val="none"/>
        </w:rPr>
      </w:pPr>
      <w:r>
        <w:rPr>
          <w:rFonts w:hint="eastAsia" w:ascii="宋体" w:hAnsi="宋体" w:eastAsia="宋体" w:cs="宋体"/>
          <w:sz w:val="30"/>
          <w:szCs w:val="30"/>
          <w:highlight w:val="none"/>
        </w:rPr>
        <w:br w:type="page" w:clear="all"/>
      </w:r>
      <w:r>
        <w:rPr>
          <w:rFonts w:hint="eastAsia" w:ascii="宋体" w:hAnsi="宋体" w:eastAsia="宋体" w:cs="宋体"/>
          <w:sz w:val="21"/>
          <w:szCs w:val="21"/>
          <w:highlight w:val="none"/>
        </w:rPr>
        <w:t xml:space="preserve">附件11：</w:t>
      </w:r>
      <w:r/>
    </w:p>
    <w:p>
      <w:pPr>
        <w:pStyle w:val="1329"/>
        <w:jc w:val="center"/>
        <w:spacing w:before="156" w:after="156" w:line="440" w:lineRule="exact"/>
        <w:rPr>
          <w:rFonts w:hint="eastAsia" w:ascii="宋体" w:hAnsi="宋体" w:eastAsia="宋体" w:cs="宋体"/>
          <w:b/>
          <w:highlight w:val="none"/>
        </w:rPr>
        <w:outlineLvl w:val="0"/>
      </w:pPr>
      <w:r/>
      <w:bookmarkStart w:id="1540" w:name="_Toc41327851"/>
      <w:r/>
      <w:bookmarkStart w:id="1541" w:name="_Toc54867195"/>
      <w:r/>
      <w:bookmarkStart w:id="1542" w:name="_Toc119597932"/>
      <w:r>
        <w:rPr>
          <w:rFonts w:hint="eastAsia" w:ascii="宋体" w:hAnsi="宋体" w:eastAsia="宋体" w:cs="宋体"/>
          <w:b/>
          <w:highlight w:val="none"/>
        </w:rPr>
        <w:t xml:space="preserve">11-1：材料暂估价表</w:t>
      </w:r>
      <w:bookmarkEnd w:id="1540"/>
      <w:r/>
      <w:bookmarkEnd w:id="1541"/>
      <w:r/>
      <w:bookmarkEnd w:id="1542"/>
      <w:r/>
      <w:r/>
    </w:p>
    <w:tbl>
      <w:tblPr>
        <w:tblStyle w:val="881"/>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Borders>
              <w:top w:val="single" w:color="auto" w:sz="12" w:space="0"/>
              <w:bottom w:val="single" w:color="auto" w:sz="6" w:space="0"/>
            </w:tcBorders>
            <w:tcW w:w="851"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p>
        </w:tc>
        <w:tc>
          <w:tcPr>
            <w:tcBorders>
              <w:top w:val="single" w:color="auto" w:sz="12" w:space="0"/>
              <w:bottom w:val="single" w:color="auto" w:sz="6" w:space="0"/>
            </w:tcBorders>
            <w:tcW w:w="774"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Borders>
              <w:top w:val="single" w:color="auto" w:sz="12" w:space="0"/>
              <w:bottom w:val="single" w:color="auto" w:sz="6" w:space="0"/>
            </w:tcBorders>
            <w:tcW w:w="1352"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单价（元）</w:t>
            </w:r>
            <w:r/>
          </w:p>
        </w:tc>
        <w:tc>
          <w:tcPr>
            <w:tcBorders>
              <w:top w:val="single" w:color="auto" w:sz="12" w:space="0"/>
              <w:bottom w:val="single" w:color="auto" w:sz="6" w:space="0"/>
            </w:tcBorders>
            <w:tcW w:w="1418"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合价（元）</w:t>
            </w:r>
            <w:r/>
          </w:p>
        </w:tc>
        <w:tc>
          <w:tcPr>
            <w:tcBorders>
              <w:top w:val="single" w:color="auto" w:sz="12" w:space="0"/>
              <w:bottom w:val="single" w:color="auto" w:sz="6" w:space="0"/>
            </w:tcBorders>
            <w:tcW w:w="1701"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984"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851"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774"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352"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418"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701"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none" w:color="000000" w:sz="4" w:space="0"/>
            </w:tcBorders>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bl>
    <w:p>
      <w:pPr>
        <w:pStyle w:val="1329"/>
        <w:spacing w:before="156" w:after="156"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1329"/>
        <w:jc w:val="center"/>
        <w:spacing w:before="156" w:after="156" w:line="440" w:lineRule="exact"/>
        <w:rPr>
          <w:rFonts w:hint="eastAsia" w:ascii="宋体" w:hAnsi="宋体" w:eastAsia="宋体" w:cs="宋体"/>
          <w:b/>
          <w:highlight w:val="none"/>
        </w:rPr>
      </w:pPr>
      <w:r>
        <w:rPr>
          <w:rFonts w:hint="eastAsia" w:ascii="宋体" w:hAnsi="宋体" w:eastAsia="宋体" w:cs="宋体"/>
          <w:b/>
          <w:highlight w:val="none"/>
        </w:rPr>
        <w:t xml:space="preserve">11-2：工程设备暂估价表</w:t>
      </w:r>
      <w:r/>
    </w:p>
    <w:tbl>
      <w:tblPr>
        <w:tblStyle w:val="881"/>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Borders>
              <w:top w:val="single" w:color="auto" w:sz="12" w:space="0"/>
              <w:bottom w:val="single" w:color="auto" w:sz="6" w:space="0"/>
            </w:tcBorders>
            <w:tcW w:w="851"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p>
        </w:tc>
        <w:tc>
          <w:tcPr>
            <w:tcBorders>
              <w:top w:val="single" w:color="auto" w:sz="12" w:space="0"/>
              <w:bottom w:val="single" w:color="auto" w:sz="6" w:space="0"/>
            </w:tcBorders>
            <w:tcW w:w="774"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Borders>
              <w:top w:val="single" w:color="auto" w:sz="12" w:space="0"/>
              <w:bottom w:val="single" w:color="auto" w:sz="6" w:space="0"/>
            </w:tcBorders>
            <w:tcW w:w="1352"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单价（元）</w:t>
            </w:r>
            <w:r/>
          </w:p>
        </w:tc>
        <w:tc>
          <w:tcPr>
            <w:tcBorders>
              <w:top w:val="single" w:color="auto" w:sz="12" w:space="0"/>
              <w:bottom w:val="single" w:color="auto" w:sz="6" w:space="0"/>
            </w:tcBorders>
            <w:tcW w:w="1418"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合价（元）</w:t>
            </w:r>
            <w:r/>
          </w:p>
        </w:tc>
        <w:tc>
          <w:tcPr>
            <w:tcBorders>
              <w:top w:val="single" w:color="auto" w:sz="12" w:space="0"/>
              <w:bottom w:val="single" w:color="auto" w:sz="6" w:space="0"/>
            </w:tcBorders>
            <w:tcW w:w="1701"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single" w:color="auto" w:sz="6" w:space="0"/>
              <w:bottom w:val="single" w:color="auto" w:sz="6" w:space="0"/>
            </w:tcBorders>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single" w:color="auto" w:sz="6" w:space="0"/>
              <w:bottom w:val="single" w:color="auto" w:sz="6" w:space="0"/>
            </w:tcBorders>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single" w:color="auto" w:sz="6" w:space="0"/>
              <w:bottom w:val="single" w:color="auto" w:sz="6" w:space="0"/>
            </w:tcBorders>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single" w:color="auto" w:sz="6" w:space="0"/>
              <w:bottom w:val="single" w:color="auto" w:sz="6" w:space="0"/>
            </w:tcBorders>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single" w:color="auto" w:sz="6" w:space="0"/>
              <w:bottom w:val="single" w:color="auto" w:sz="6" w:space="0"/>
            </w:tcBorders>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single" w:color="auto" w:sz="6" w:space="0"/>
              <w:bottom w:val="single" w:color="auto" w:sz="6" w:space="0"/>
            </w:tcBorders>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Borders>
              <w:top w:val="none" w:color="000000" w:sz="4" w:space="0"/>
            </w:tcBorders>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Borders>
              <w:top w:val="none" w:color="000000" w:sz="4" w:space="0"/>
            </w:tcBorders>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r>
        <w:trPr/>
        <w:tc>
          <w:tcPr>
            <w:tcW w:w="993"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85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774"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352"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418"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c>
          <w:tcPr>
            <w:tcW w:w="1701" w:type="dxa"/>
            <w:vAlign w:val="top"/>
            <w:textDirection w:val="lrTb"/>
            <w:noWrap w:val="false"/>
          </w:tcPr>
          <w:p>
            <w:pPr>
              <w:pStyle w:val="1331"/>
              <w:ind w:left="63" w:right="63"/>
              <w:keepNext/>
              <w:spacing w:line="440" w:lineRule="exact"/>
              <w:rPr>
                <w:rFonts w:hint="eastAsia" w:ascii="宋体" w:hAnsi="宋体" w:eastAsia="宋体" w:cs="宋体"/>
                <w:szCs w:val="30"/>
                <w:highlight w:val="none"/>
              </w:rPr>
            </w:pPr>
            <w:r>
              <w:rPr>
                <w:rFonts w:hint="eastAsia" w:ascii="宋体" w:hAnsi="宋体" w:eastAsia="宋体" w:cs="宋体"/>
                <w:szCs w:val="30"/>
                <w:highlight w:val="none"/>
              </w:rPr>
            </w:r>
            <w:r/>
          </w:p>
        </w:tc>
      </w:tr>
    </w:tbl>
    <w:p>
      <w:pPr>
        <w:pStyle w:val="1329"/>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1329"/>
        <w:jc w:val="center"/>
        <w:spacing w:before="156" w:after="156" w:line="440" w:lineRule="exact"/>
        <w:rPr>
          <w:rFonts w:hint="eastAsia" w:ascii="宋体" w:hAnsi="宋体" w:eastAsia="宋体" w:cs="宋体"/>
          <w:highlight w:val="none"/>
        </w:rPr>
      </w:pPr>
      <w:r>
        <w:rPr>
          <w:rFonts w:hint="eastAsia" w:ascii="宋体" w:hAnsi="宋体" w:eastAsia="宋体" w:cs="宋体"/>
          <w:sz w:val="30"/>
          <w:szCs w:val="30"/>
          <w:highlight w:val="none"/>
        </w:rPr>
        <w:br w:type="page" w:clear="all"/>
      </w:r>
      <w:r>
        <w:rPr>
          <w:rFonts w:hint="eastAsia" w:ascii="宋体" w:hAnsi="宋体" w:eastAsia="宋体" w:cs="宋体"/>
          <w:b/>
          <w:highlight w:val="none"/>
        </w:rPr>
        <w:t xml:space="preserve">11-3：专业工程暂估价表</w:t>
      </w:r>
      <w:r/>
    </w:p>
    <w:tbl>
      <w:tblPr>
        <w:tblStyle w:val="881"/>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工程内容</w:t>
            </w:r>
            <w:r/>
          </w:p>
        </w:tc>
        <w:tc>
          <w:tcPr>
            <w:tcBorders>
              <w:top w:val="single" w:color="auto" w:sz="12" w:space="0"/>
              <w:bottom w:val="single" w:color="auto" w:sz="6" w:space="0"/>
            </w:tcBorders>
            <w:tcW w:w="1276" w:type="dxa"/>
            <w:vAlign w:val="top"/>
            <w:textDirection w:val="lrTb"/>
            <w:noWrap w:val="false"/>
          </w:tcPr>
          <w:p>
            <w:pPr>
              <w:pStyle w:val="1331"/>
              <w:ind w:left="63" w:right="63"/>
              <w:jc w:val="center"/>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金额</w:t>
            </w:r>
            <w:r/>
          </w:p>
        </w:tc>
      </w:tr>
      <w:tr>
        <w:trPr/>
        <w:tc>
          <w:tcPr>
            <w:tcBorders>
              <w:top w:val="single" w:color="auto" w:sz="6" w:space="0"/>
              <w:bottom w:val="single" w:color="auto" w:sz="6" w:space="0"/>
            </w:tcBorders>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none" w:color="000000" w:sz="4" w:space="0"/>
            </w:tcBorders>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none" w:color="000000" w:sz="4" w:space="0"/>
            </w:tcBorders>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gridSpan w:val="4"/>
            <w:tcW w:w="8817" w:type="dxa"/>
            <w:vAlign w:val="top"/>
            <w:textDirection w:val="lrTb"/>
            <w:noWrap w:val="false"/>
          </w:tcPr>
          <w:p>
            <w:pPr>
              <w:pStyle w:val="1331"/>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小计：</w:t>
            </w:r>
            <w:r/>
          </w:p>
        </w:tc>
      </w:tr>
    </w:tbl>
    <w:p>
      <w:pPr>
        <w:rPr>
          <w:rFonts w:hint="eastAsia" w:ascii="宋体" w:hAnsi="宋体" w:eastAsia="宋体" w:cs="宋体"/>
          <w:highlight w:val="none"/>
        </w:rPr>
      </w:pPr>
      <w:r>
        <w:rPr>
          <w:rFonts w:hint="eastAsia" w:ascii="宋体" w:hAnsi="宋体" w:eastAsia="宋体" w:cs="宋体"/>
          <w:highlight w:val="none"/>
        </w:rPr>
      </w:r>
      <w:r/>
    </w:p>
    <w:p>
      <w:pPr>
        <w:jc w:val="left"/>
        <w:tabs>
          <w:tab w:val="left" w:pos="6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sectPr>
      <w:headerReference w:type="default" r:id="rId11"/>
      <w:footerReference w:type="default" r:id="rId19"/>
      <w:footnotePr/>
      <w:endnotePr/>
      <w:type w:val="nextPage"/>
      <w:pgSz w:w="11906" w:h="16838" w:orient="portrait"/>
      <w:pgMar w:top="1440" w:right="1531" w:bottom="1440"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imesNewRomanPSMT">
    <w:panose1 w:val="02020603050405020304"/>
  </w:font>
  <w:font w:name="仿宋">
    <w:panose1 w:val="02010609060101010101"/>
  </w:font>
  <w:font w:name="Cambria">
    <w:panose1 w:val="02040503050406030204"/>
  </w:font>
  <w:font w:name="Courier New">
    <w:panose1 w:val="02070309020205020404"/>
  </w:font>
  <w:font w:name="仿宋_GB2312">
    <w:panose1 w:val="02010609060101010101"/>
  </w:font>
  <w:font w:name="华文中宋">
    <w:panose1 w:val="0201060004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Calisto MT">
    <w:panose1 w:val="02040603050505030304"/>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w:r/>
  </w:p>
  <w:p>
    <w:pPr>
      <w:pStyle w:val="10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rPr>
        <w:rStyle w:val="1124"/>
      </w:rPr>
      <w:framePr w:wrap="around" w:vAnchor="text" w:hAnchor="margin" w:xAlign="center" w:y="1"/>
    </w:pPr>
    <w:r>
      <w:rPr>
        <w:rFonts w:hint="eastAsia"/>
      </w:rPr>
      <w:fldChar w:fldCharType="begin"/>
    </w:r>
    <w:r>
      <w:rPr>
        <w:rStyle w:val="1124"/>
        <w:rFonts w:hint="eastAsia"/>
      </w:rPr>
      <w:instrText xml:space="preserve">PAGE  </w:instrText>
    </w:r>
    <w:r>
      <w:rPr>
        <w:rFonts w:hint="eastAsia"/>
      </w:rPr>
      <w:fldChar w:fldCharType="end"/>
    </w:r>
    <w:r/>
  </w:p>
  <w:p>
    <w:pPr>
      <w:pStyle w:val="10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w:r/>
  </w:p>
  <w:p>
    <w:pPr>
      <w:pStyle w:val="109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09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552" w:hanging="420"/>
        <w:tabs>
          <w:tab w:val="left" w:pos="552" w:leader="none"/>
        </w:tabs>
      </w:pPr>
      <w:rPr>
        <w:rFonts w:hint="eastAsia"/>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default="1">
    <w:name w:val="Normal"/>
    <w:link w:val="12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1">
    <w:name w:val="Heading 1"/>
    <w:basedOn w:val="870"/>
    <w:next w:val="870"/>
    <w:uiPriority w:val="9"/>
    <w:qFormat/>
    <w:pPr>
      <w:keepLines/>
      <w:keepNext/>
      <w:spacing w:before="480" w:after="200"/>
      <w:outlineLvl w:val="0"/>
    </w:pPr>
    <w:rPr>
      <w:rFonts w:ascii="Arial" w:hAnsi="Arial" w:eastAsia="Arial" w:cs="Arial"/>
      <w:sz w:val="40"/>
      <w:szCs w:val="40"/>
    </w:rPr>
  </w:style>
  <w:style w:type="paragraph" w:styleId="872">
    <w:name w:val="Heading 2"/>
    <w:basedOn w:val="870"/>
    <w:next w:val="870"/>
    <w:link w:val="1060"/>
    <w:uiPriority w:val="9"/>
    <w:unhideWhenUsed/>
    <w:qFormat/>
    <w:pPr>
      <w:keepLines/>
      <w:keepNext/>
      <w:spacing w:before="360" w:after="200"/>
      <w:outlineLvl w:val="1"/>
    </w:pPr>
    <w:rPr>
      <w:rFonts w:ascii="Arial" w:hAnsi="Arial" w:eastAsia="Arial" w:cs="Arial"/>
      <w:sz w:val="34"/>
    </w:rPr>
  </w:style>
  <w:style w:type="paragraph" w:styleId="873">
    <w:name w:val="Heading 3"/>
    <w:basedOn w:val="870"/>
    <w:next w:val="870"/>
    <w:uiPriority w:val="9"/>
    <w:unhideWhenUsed/>
    <w:qFormat/>
    <w:pPr>
      <w:keepLines/>
      <w:keepNext/>
      <w:spacing w:before="320" w:after="200"/>
      <w:outlineLvl w:val="2"/>
    </w:pPr>
    <w:rPr>
      <w:rFonts w:ascii="Arial" w:hAnsi="Arial" w:eastAsia="Arial" w:cs="Arial"/>
      <w:sz w:val="30"/>
      <w:szCs w:val="30"/>
    </w:rPr>
  </w:style>
  <w:style w:type="paragraph" w:styleId="874">
    <w:name w:val="Heading 4"/>
    <w:basedOn w:val="870"/>
    <w:next w:val="870"/>
    <w:uiPriority w:val="9"/>
    <w:unhideWhenUsed/>
    <w:qFormat/>
    <w:pPr>
      <w:keepLines/>
      <w:keepNext/>
      <w:spacing w:before="320" w:after="200"/>
      <w:outlineLvl w:val="3"/>
    </w:pPr>
    <w:rPr>
      <w:rFonts w:ascii="Arial" w:hAnsi="Arial" w:eastAsia="Arial" w:cs="Arial"/>
      <w:b/>
      <w:bCs/>
      <w:sz w:val="26"/>
      <w:szCs w:val="26"/>
    </w:rPr>
  </w:style>
  <w:style w:type="paragraph" w:styleId="875">
    <w:name w:val="Heading 5"/>
    <w:basedOn w:val="870"/>
    <w:next w:val="870"/>
    <w:uiPriority w:val="9"/>
    <w:unhideWhenUsed/>
    <w:qFormat/>
    <w:pPr>
      <w:keepLines/>
      <w:keepNext/>
      <w:spacing w:before="320" w:after="200"/>
      <w:outlineLvl w:val="4"/>
    </w:pPr>
    <w:rPr>
      <w:rFonts w:ascii="Arial" w:hAnsi="Arial" w:eastAsia="Arial" w:cs="Arial"/>
      <w:b/>
      <w:bCs/>
      <w:sz w:val="24"/>
      <w:szCs w:val="24"/>
    </w:rPr>
  </w:style>
  <w:style w:type="paragraph" w:styleId="876">
    <w:name w:val="Heading 6"/>
    <w:basedOn w:val="870"/>
    <w:next w:val="870"/>
    <w:link w:val="907"/>
    <w:uiPriority w:val="9"/>
    <w:unhideWhenUsed/>
    <w:qFormat/>
    <w:pPr>
      <w:keepLines/>
      <w:keepNext/>
      <w:spacing w:before="320" w:after="200"/>
      <w:outlineLvl w:val="5"/>
    </w:pPr>
    <w:rPr>
      <w:rFonts w:ascii="Arial" w:hAnsi="Arial" w:eastAsia="Arial" w:cs="Arial"/>
      <w:b/>
      <w:bCs/>
      <w:sz w:val="22"/>
      <w:szCs w:val="22"/>
    </w:rPr>
  </w:style>
  <w:style w:type="paragraph" w:styleId="877">
    <w:name w:val="Heading 7"/>
    <w:basedOn w:val="870"/>
    <w:next w:val="870"/>
    <w:link w:val="908"/>
    <w:uiPriority w:val="9"/>
    <w:unhideWhenUsed/>
    <w:qFormat/>
    <w:pPr>
      <w:keepLines/>
      <w:keepNext/>
      <w:spacing w:before="320" w:after="200"/>
      <w:outlineLvl w:val="6"/>
    </w:pPr>
    <w:rPr>
      <w:rFonts w:ascii="Arial" w:hAnsi="Arial" w:eastAsia="Arial" w:cs="Arial"/>
      <w:b/>
      <w:bCs/>
      <w:i/>
      <w:iCs/>
      <w:sz w:val="22"/>
      <w:szCs w:val="22"/>
    </w:rPr>
  </w:style>
  <w:style w:type="paragraph" w:styleId="878">
    <w:name w:val="Heading 8"/>
    <w:basedOn w:val="870"/>
    <w:next w:val="870"/>
    <w:link w:val="909"/>
    <w:uiPriority w:val="9"/>
    <w:unhideWhenUsed/>
    <w:qFormat/>
    <w:pPr>
      <w:keepLines/>
      <w:keepNext/>
      <w:spacing w:before="320" w:after="200"/>
      <w:outlineLvl w:val="7"/>
    </w:pPr>
    <w:rPr>
      <w:rFonts w:ascii="Arial" w:hAnsi="Arial" w:eastAsia="Arial" w:cs="Arial"/>
      <w:i/>
      <w:iCs/>
      <w:sz w:val="22"/>
      <w:szCs w:val="22"/>
    </w:rPr>
  </w:style>
  <w:style w:type="paragraph" w:styleId="879">
    <w:name w:val="Heading 9"/>
    <w:basedOn w:val="870"/>
    <w:next w:val="870"/>
    <w:link w:val="910"/>
    <w:uiPriority w:val="9"/>
    <w:unhideWhenUsed/>
    <w:qFormat/>
    <w:pPr>
      <w:keepLines/>
      <w:keepNext/>
      <w:spacing w:before="320" w:after="200"/>
      <w:outlineLvl w:val="8"/>
    </w:pPr>
    <w:rPr>
      <w:rFonts w:ascii="Arial" w:hAnsi="Arial" w:eastAsia="Arial" w:cs="Arial"/>
      <w:i/>
      <w:iCs/>
      <w:sz w:val="21"/>
      <w:szCs w:val="21"/>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toc 7"/>
    <w:basedOn w:val="870"/>
    <w:next w:val="870"/>
    <w:uiPriority w:val="39"/>
    <w:unhideWhenUsed/>
    <w:qFormat/>
    <w:pPr>
      <w:ind w:left="1701" w:right="0" w:firstLine="0"/>
      <w:spacing w:after="57"/>
    </w:pPr>
  </w:style>
  <w:style w:type="paragraph" w:styleId="883">
    <w:name w:val="Caption"/>
    <w:basedOn w:val="870"/>
    <w:next w:val="8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4">
    <w:name w:val="Body Text"/>
    <w:basedOn w:val="870"/>
    <w:next w:val="870"/>
    <w:uiPriority w:val="0"/>
    <w:qFormat/>
    <w:pPr>
      <w:ind w:right="0"/>
      <w:jc w:val="both"/>
      <w:spacing w:after="120"/>
    </w:pPr>
    <w:rPr>
      <w:rFonts w:ascii="Calibri" w:hAnsi="Calibri"/>
      <w:sz w:val="20"/>
      <w:szCs w:val="24"/>
    </w:rPr>
  </w:style>
  <w:style w:type="paragraph" w:styleId="885">
    <w:name w:val="toc 5"/>
    <w:basedOn w:val="870"/>
    <w:next w:val="870"/>
    <w:uiPriority w:val="39"/>
    <w:unhideWhenUsed/>
    <w:qFormat/>
    <w:pPr>
      <w:ind w:left="1134" w:right="0" w:firstLine="0"/>
      <w:spacing w:after="57"/>
    </w:pPr>
  </w:style>
  <w:style w:type="paragraph" w:styleId="886">
    <w:name w:val="toc 3"/>
    <w:basedOn w:val="870"/>
    <w:next w:val="870"/>
    <w:uiPriority w:val="39"/>
    <w:unhideWhenUsed/>
    <w:qFormat/>
    <w:pPr>
      <w:ind w:left="567" w:right="0" w:firstLine="0"/>
      <w:spacing w:after="57"/>
    </w:pPr>
  </w:style>
  <w:style w:type="paragraph" w:styleId="887">
    <w:name w:val="toc 8"/>
    <w:basedOn w:val="870"/>
    <w:next w:val="870"/>
    <w:uiPriority w:val="39"/>
    <w:unhideWhenUsed/>
    <w:qFormat/>
    <w:pPr>
      <w:ind w:left="1984" w:right="0" w:firstLine="0"/>
      <w:spacing w:after="57"/>
    </w:pPr>
  </w:style>
  <w:style w:type="paragraph" w:styleId="888">
    <w:name w:val="endnote text"/>
    <w:basedOn w:val="870"/>
    <w:link w:val="1044"/>
    <w:uiPriority w:val="99"/>
    <w:semiHidden/>
    <w:unhideWhenUsed/>
    <w:qFormat/>
    <w:pPr>
      <w:spacing w:after="0" w:line="240" w:lineRule="auto"/>
    </w:pPr>
    <w:rPr>
      <w:sz w:val="20"/>
    </w:rPr>
  </w:style>
  <w:style w:type="paragraph" w:styleId="889">
    <w:name w:val="Footer"/>
    <w:basedOn w:val="870"/>
    <w:link w:val="918"/>
    <w:uiPriority w:val="99"/>
    <w:unhideWhenUsed/>
    <w:qFormat/>
    <w:pPr>
      <w:spacing w:after="0" w:line="240" w:lineRule="auto"/>
      <w:tabs>
        <w:tab w:val="center" w:pos="7143" w:leader="none"/>
        <w:tab w:val="right" w:pos="14287" w:leader="none"/>
      </w:tabs>
    </w:pPr>
  </w:style>
  <w:style w:type="paragraph" w:styleId="890">
    <w:name w:val="Header"/>
    <w:basedOn w:val="870"/>
    <w:uiPriority w:val="99"/>
    <w:unhideWhenUsed/>
    <w:qFormat/>
    <w:pPr>
      <w:spacing w:after="0" w:line="240" w:lineRule="auto"/>
      <w:tabs>
        <w:tab w:val="center" w:pos="7143" w:leader="none"/>
        <w:tab w:val="right" w:pos="14287" w:leader="none"/>
      </w:tabs>
    </w:pPr>
  </w:style>
  <w:style w:type="paragraph" w:styleId="891">
    <w:name w:val="toc 1"/>
    <w:basedOn w:val="870"/>
    <w:next w:val="870"/>
    <w:uiPriority w:val="39"/>
    <w:unhideWhenUsed/>
    <w:qFormat/>
    <w:pPr>
      <w:ind w:left="0" w:right="0" w:firstLine="0"/>
      <w:spacing w:after="57"/>
    </w:pPr>
  </w:style>
  <w:style w:type="paragraph" w:styleId="892">
    <w:name w:val="toc 4"/>
    <w:basedOn w:val="870"/>
    <w:next w:val="870"/>
    <w:uiPriority w:val="39"/>
    <w:unhideWhenUsed/>
    <w:qFormat/>
    <w:pPr>
      <w:ind w:left="850" w:right="0" w:firstLine="0"/>
      <w:spacing w:after="57"/>
    </w:pPr>
  </w:style>
  <w:style w:type="paragraph" w:styleId="893">
    <w:name w:val="Subtitle"/>
    <w:basedOn w:val="870"/>
    <w:next w:val="870"/>
    <w:link w:val="913"/>
    <w:uiPriority w:val="11"/>
    <w:qFormat/>
    <w:pPr>
      <w:spacing w:before="200" w:after="200"/>
    </w:pPr>
    <w:rPr>
      <w:sz w:val="24"/>
      <w:szCs w:val="24"/>
    </w:rPr>
  </w:style>
  <w:style w:type="paragraph" w:styleId="894">
    <w:name w:val="footnote text"/>
    <w:basedOn w:val="870"/>
    <w:uiPriority w:val="99"/>
    <w:semiHidden/>
    <w:unhideWhenUsed/>
    <w:qFormat/>
    <w:pPr>
      <w:spacing w:after="40" w:line="240" w:lineRule="auto"/>
    </w:pPr>
    <w:rPr>
      <w:sz w:val="18"/>
    </w:rPr>
  </w:style>
  <w:style w:type="paragraph" w:styleId="895">
    <w:name w:val="toc 6"/>
    <w:basedOn w:val="870"/>
    <w:next w:val="870"/>
    <w:uiPriority w:val="39"/>
    <w:unhideWhenUsed/>
    <w:qFormat/>
    <w:pPr>
      <w:ind w:left="1417" w:right="0" w:firstLine="0"/>
      <w:spacing w:after="57"/>
    </w:pPr>
  </w:style>
  <w:style w:type="paragraph" w:styleId="896">
    <w:name w:val="table of figures"/>
    <w:basedOn w:val="870"/>
    <w:next w:val="870"/>
    <w:uiPriority w:val="99"/>
    <w:unhideWhenUsed/>
    <w:qFormat/>
    <w:pPr>
      <w:spacing w:after="0" w:afterAutospacing="0"/>
    </w:pPr>
  </w:style>
  <w:style w:type="paragraph" w:styleId="897">
    <w:name w:val="toc 2"/>
    <w:basedOn w:val="870"/>
    <w:next w:val="870"/>
    <w:uiPriority w:val="39"/>
    <w:unhideWhenUsed/>
    <w:qFormat/>
    <w:pPr>
      <w:ind w:left="283" w:right="0" w:firstLine="0"/>
      <w:spacing w:after="57"/>
    </w:pPr>
  </w:style>
  <w:style w:type="paragraph" w:styleId="898">
    <w:name w:val="toc 9"/>
    <w:basedOn w:val="870"/>
    <w:next w:val="870"/>
    <w:uiPriority w:val="39"/>
    <w:unhideWhenUsed/>
    <w:qFormat/>
    <w:pPr>
      <w:ind w:left="2268" w:right="0" w:firstLine="0"/>
      <w:spacing w:after="57"/>
    </w:pPr>
  </w:style>
  <w:style w:type="paragraph" w:styleId="899">
    <w:name w:val="Normal (Web)"/>
    <w:basedOn w:val="870"/>
    <w:uiPriority w:val="0"/>
    <w:qFormat/>
    <w:pPr>
      <w:ind w:left="0" w:right="0"/>
      <w:jc w:val="left"/>
      <w:spacing w:before="100" w:beforeAutospacing="1" w:after="100" w:afterAutospacing="1"/>
    </w:pPr>
    <w:rPr>
      <w:sz w:val="24"/>
      <w:lang w:val="en-US" w:eastAsia="zh-CN" w:bidi="ar"/>
    </w:rPr>
  </w:style>
  <w:style w:type="paragraph" w:styleId="900">
    <w:name w:val="Title"/>
    <w:basedOn w:val="870"/>
    <w:next w:val="870"/>
    <w:uiPriority w:val="10"/>
    <w:qFormat/>
    <w:pPr>
      <w:contextualSpacing/>
      <w:spacing w:before="300" w:after="200"/>
    </w:pPr>
    <w:rPr>
      <w:sz w:val="48"/>
      <w:szCs w:val="48"/>
    </w:rPr>
  </w:style>
  <w:style w:type="paragraph" w:styleId="901">
    <w:name w:val="Body Text First Indent"/>
    <w:basedOn w:val="884"/>
    <w:uiPriority w:val="0"/>
    <w:qFormat/>
    <w:pPr>
      <w:ind w:firstLine="420"/>
      <w:jc w:val="left"/>
    </w:pPr>
    <w:rPr>
      <w:rFonts w:ascii="Arial" w:hAnsi="Arial"/>
      <w:sz w:val="21"/>
      <w:szCs w:val="21"/>
    </w:rPr>
  </w:style>
  <w:style w:type="table" w:styleId="9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3">
    <w:name w:val="endnote reference"/>
    <w:uiPriority w:val="99"/>
    <w:semiHidden/>
    <w:unhideWhenUsed/>
    <w:qFormat/>
    <w:rPr>
      <w:vertAlign w:val="superscript"/>
    </w:rPr>
  </w:style>
  <w:style w:type="character" w:styleId="904">
    <w:name w:val="FollowedHyperlink"/>
    <w:basedOn w:val="880"/>
    <w:uiPriority w:val="99"/>
    <w:semiHidden/>
    <w:unhideWhenUsed/>
    <w:qFormat/>
    <w:rPr>
      <w:color w:val="333333"/>
      <w:u w:val="none"/>
    </w:rPr>
  </w:style>
  <w:style w:type="character" w:styleId="905">
    <w:name w:val="Hyperlink"/>
    <w:uiPriority w:val="99"/>
    <w:unhideWhenUsed/>
    <w:qFormat/>
    <w:rPr>
      <w:color w:val="0000ff" w:themeColor="hyperlink"/>
      <w:u w:val="single"/>
      <w14:textFill>
        <w14:solidFill>
          <w14:schemeClr w14:val="hlink"/>
        </w14:solidFill>
      </w14:textFill>
    </w:rPr>
  </w:style>
  <w:style w:type="character" w:styleId="906">
    <w:name w:val="footnote reference"/>
    <w:uiPriority w:val="99"/>
    <w:unhideWhenUsed/>
    <w:qFormat/>
    <w:rPr>
      <w:vertAlign w:val="superscript"/>
    </w:rPr>
  </w:style>
  <w:style w:type="character" w:styleId="907" w:customStyle="1">
    <w:name w:val="Heading 6 Char"/>
    <w:link w:val="876"/>
    <w:uiPriority w:val="9"/>
    <w:qFormat/>
    <w:rPr>
      <w:rFonts w:ascii="Arial" w:hAnsi="Arial" w:eastAsia="Arial" w:cs="Arial"/>
      <w:b/>
      <w:bCs/>
      <w:sz w:val="22"/>
      <w:szCs w:val="22"/>
    </w:rPr>
  </w:style>
  <w:style w:type="character" w:styleId="908" w:customStyle="1">
    <w:name w:val="Heading 7 Char"/>
    <w:link w:val="877"/>
    <w:uiPriority w:val="9"/>
    <w:qFormat/>
    <w:rPr>
      <w:rFonts w:ascii="Arial" w:hAnsi="Arial" w:eastAsia="Arial" w:cs="Arial"/>
      <w:b/>
      <w:bCs/>
      <w:i/>
      <w:iCs/>
      <w:sz w:val="22"/>
      <w:szCs w:val="22"/>
    </w:rPr>
  </w:style>
  <w:style w:type="character" w:styleId="909" w:customStyle="1">
    <w:name w:val="Heading 8 Char"/>
    <w:link w:val="878"/>
    <w:uiPriority w:val="9"/>
    <w:qFormat/>
    <w:rPr>
      <w:rFonts w:ascii="Arial" w:hAnsi="Arial" w:eastAsia="Arial" w:cs="Arial"/>
      <w:i/>
      <w:iCs/>
      <w:sz w:val="22"/>
      <w:szCs w:val="22"/>
    </w:rPr>
  </w:style>
  <w:style w:type="character" w:styleId="910" w:customStyle="1">
    <w:name w:val="Heading 9 Char"/>
    <w:link w:val="879"/>
    <w:uiPriority w:val="9"/>
    <w:qFormat/>
    <w:rPr>
      <w:rFonts w:ascii="Arial" w:hAnsi="Arial" w:eastAsia="Arial" w:cs="Arial"/>
      <w:i/>
      <w:iCs/>
      <w:sz w:val="21"/>
      <w:szCs w:val="21"/>
    </w:rPr>
  </w:style>
  <w:style w:type="paragraph" w:styleId="911">
    <w:name w:val="List Paragraph"/>
    <w:basedOn w:val="870"/>
    <w:uiPriority w:val="34"/>
    <w:qFormat/>
    <w:pPr>
      <w:contextualSpacing/>
      <w:ind w:left="720"/>
    </w:pPr>
  </w:style>
  <w:style w:type="paragraph" w:styleId="912">
    <w:name w:val="No Spacing"/>
    <w:uiPriority w:val="1"/>
    <w:qFormat/>
    <w:pPr>
      <w:spacing w:before="0" w:after="0" w:line="240" w:lineRule="auto"/>
    </w:pPr>
    <w:rPr>
      <w:rFonts w:hint="default" w:ascii="Times New Roman" w:hAnsi="Times New Roman" w:eastAsia="宋体" w:cs="Times New Roman"/>
    </w:rPr>
  </w:style>
  <w:style w:type="character" w:styleId="913" w:customStyle="1">
    <w:name w:val="Subtitle Char"/>
    <w:link w:val="893"/>
    <w:uiPriority w:val="11"/>
    <w:qFormat/>
    <w:rPr>
      <w:sz w:val="24"/>
      <w:szCs w:val="24"/>
    </w:rPr>
  </w:style>
  <w:style w:type="paragraph" w:styleId="914">
    <w:name w:val="Quote"/>
    <w:basedOn w:val="870"/>
    <w:next w:val="870"/>
    <w:link w:val="915"/>
    <w:uiPriority w:val="29"/>
    <w:qFormat/>
    <w:pPr>
      <w:ind w:left="720" w:right="720"/>
    </w:pPr>
    <w:rPr>
      <w:i/>
    </w:rPr>
  </w:style>
  <w:style w:type="character" w:styleId="915" w:customStyle="1">
    <w:name w:val="Quote Char"/>
    <w:link w:val="914"/>
    <w:uiPriority w:val="29"/>
    <w:qFormat/>
    <w:rPr>
      <w:i/>
    </w:rPr>
  </w:style>
  <w:style w:type="paragraph" w:styleId="916">
    <w:name w:val="Intense Quote"/>
    <w:basedOn w:val="870"/>
    <w:next w:val="870"/>
    <w:link w:val="9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Intense Quote Char"/>
    <w:link w:val="916"/>
    <w:uiPriority w:val="30"/>
    <w:qFormat/>
    <w:rPr>
      <w:i/>
    </w:rPr>
  </w:style>
  <w:style w:type="character" w:styleId="918" w:customStyle="1">
    <w:name w:val="Caption Char"/>
    <w:link w:val="889"/>
    <w:uiPriority w:val="99"/>
    <w:qFormat/>
  </w:style>
  <w:style w:type="table" w:styleId="9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4" w:customStyle="1">
    <w:name w:val="Endnote Text Char"/>
    <w:link w:val="888"/>
    <w:uiPriority w:val="99"/>
    <w:qFormat/>
    <w:rPr>
      <w:sz w:val="20"/>
    </w:rPr>
  </w:style>
  <w:style w:type="paragraph" w:styleId="1045" w:customStyle="1">
    <w:name w:val="TOC Heading"/>
    <w:uiPriority w:val="39"/>
    <w:unhideWhenUsed/>
    <w:qFormat/>
    <w:rPr>
      <w:rFonts w:hint="default" w:ascii="Times New Roman" w:hAnsi="Times New Roman" w:eastAsia="宋体" w:cs="Times New Roman"/>
    </w:rPr>
  </w:style>
  <w:style w:type="paragraph" w:styleId="1046" w:customStyle="1">
    <w:name w:val="标题 11"/>
    <w:basedOn w:val="870"/>
    <w:next w:val="870"/>
    <w:link w:val="1059"/>
    <w:uiPriority w:val="0"/>
    <w:qFormat/>
    <w:pPr>
      <w:jc w:val="center"/>
      <w:keepNext/>
      <w:outlineLvl w:val="0"/>
    </w:pPr>
    <w:rPr>
      <w:rFonts w:ascii="楷体_GB2312" w:eastAsia="楷体_GB2312"/>
      <w:sz w:val="28"/>
      <w:szCs w:val="28"/>
    </w:rPr>
  </w:style>
  <w:style w:type="paragraph" w:styleId="1047" w:customStyle="1">
    <w:name w:val="标题 21"/>
    <w:basedOn w:val="870"/>
    <w:next w:val="870"/>
    <w:uiPriority w:val="0"/>
    <w:qFormat/>
    <w:pPr>
      <w:jc w:val="left"/>
      <w:keepLines/>
      <w:keepNext/>
      <w:spacing w:before="260" w:after="260" w:line="415" w:lineRule="auto"/>
      <w:outlineLvl w:val="1"/>
    </w:pPr>
    <w:rPr>
      <w:rFonts w:ascii="Arial" w:hAnsi="Arial" w:eastAsia="仿宋_GB2312" w:cs="Arial"/>
      <w:sz w:val="28"/>
      <w:szCs w:val="44"/>
    </w:rPr>
  </w:style>
  <w:style w:type="paragraph" w:styleId="1048" w:customStyle="1">
    <w:name w:val="标题 31"/>
    <w:basedOn w:val="870"/>
    <w:next w:val="870"/>
    <w:link w:val="1061"/>
    <w:uiPriority w:val="0"/>
    <w:qFormat/>
    <w:pPr>
      <w:keepLines/>
      <w:keepNext/>
      <w:spacing w:before="260" w:after="260" w:line="415" w:lineRule="auto"/>
      <w:outlineLvl w:val="2"/>
    </w:pPr>
    <w:rPr>
      <w:sz w:val="32"/>
      <w:szCs w:val="32"/>
    </w:rPr>
  </w:style>
  <w:style w:type="paragraph" w:styleId="1049" w:customStyle="1">
    <w:name w:val="标题 41"/>
    <w:basedOn w:val="870"/>
    <w:next w:val="870"/>
    <w:link w:val="1062"/>
    <w:uiPriority w:val="99"/>
    <w:qFormat/>
    <w:pPr>
      <w:keepLines/>
      <w:keepNext/>
      <w:spacing w:before="280" w:after="290" w:line="374" w:lineRule="auto"/>
      <w:outlineLvl w:val="3"/>
    </w:pPr>
    <w:rPr>
      <w:rFonts w:ascii="Arial" w:hAnsi="Arial" w:eastAsia="黑体" w:cs="Arial"/>
      <w:sz w:val="28"/>
      <w:szCs w:val="28"/>
    </w:rPr>
  </w:style>
  <w:style w:type="paragraph" w:styleId="1050" w:customStyle="1">
    <w:name w:val="标题 51"/>
    <w:basedOn w:val="870"/>
    <w:next w:val="1051"/>
    <w:link w:val="1063"/>
    <w:uiPriority w:val="99"/>
    <w:qFormat/>
    <w:pPr>
      <w:keepNext/>
      <w:outlineLvl w:val="4"/>
    </w:pPr>
    <w:rPr>
      <w:rFonts w:ascii="宋体"/>
      <w:color w:val="000000"/>
      <w:sz w:val="28"/>
      <w:szCs w:val="28"/>
    </w:rPr>
  </w:style>
  <w:style w:type="paragraph" w:styleId="1051" w:customStyle="1">
    <w:name w:val="正文缩进111"/>
    <w:basedOn w:val="870"/>
    <w:uiPriority w:val="0"/>
    <w:qFormat/>
    <w:pPr>
      <w:ind w:firstLine="420"/>
    </w:pPr>
    <w:rPr>
      <w:szCs w:val="21"/>
    </w:rPr>
  </w:style>
  <w:style w:type="paragraph" w:styleId="1052" w:customStyle="1">
    <w:name w:val="标题 61"/>
    <w:basedOn w:val="870"/>
    <w:next w:val="870"/>
    <w:link w:val="1064"/>
    <w:uiPriority w:val="0"/>
    <w:qFormat/>
    <w:pPr>
      <w:keepLines/>
      <w:keepNext/>
      <w:spacing w:before="240" w:after="64" w:line="319" w:lineRule="auto"/>
      <w:outlineLvl w:val="5"/>
    </w:pPr>
    <w:rPr>
      <w:rFonts w:ascii="Arial" w:hAnsi="Arial" w:eastAsia="黑体"/>
      <w:b/>
      <w:bCs/>
      <w:sz w:val="24"/>
    </w:rPr>
  </w:style>
  <w:style w:type="paragraph" w:styleId="1053" w:customStyle="1">
    <w:name w:val="标题 71"/>
    <w:basedOn w:val="870"/>
    <w:next w:val="870"/>
    <w:link w:val="1065"/>
    <w:uiPriority w:val="0"/>
    <w:qFormat/>
    <w:pPr>
      <w:keepLines/>
      <w:keepNext/>
      <w:spacing w:before="240" w:after="64" w:line="319" w:lineRule="auto"/>
      <w:outlineLvl w:val="6"/>
    </w:pPr>
    <w:rPr>
      <w:b/>
      <w:bCs/>
      <w:sz w:val="24"/>
    </w:rPr>
  </w:style>
  <w:style w:type="paragraph" w:styleId="1054" w:customStyle="1">
    <w:name w:val="标题 81"/>
    <w:basedOn w:val="870"/>
    <w:next w:val="870"/>
    <w:link w:val="1066"/>
    <w:uiPriority w:val="0"/>
    <w:qFormat/>
    <w:pPr>
      <w:keepLines/>
      <w:keepNext/>
      <w:spacing w:before="240" w:after="64" w:line="319" w:lineRule="auto"/>
      <w:outlineLvl w:val="7"/>
    </w:pPr>
    <w:rPr>
      <w:rFonts w:ascii="Arial" w:hAnsi="Arial" w:eastAsia="黑体"/>
      <w:sz w:val="24"/>
    </w:rPr>
  </w:style>
  <w:style w:type="paragraph" w:styleId="1055" w:customStyle="1">
    <w:name w:val="标题 91"/>
    <w:basedOn w:val="870"/>
    <w:next w:val="870"/>
    <w:link w:val="1067"/>
    <w:uiPriority w:val="0"/>
    <w:qFormat/>
    <w:pPr>
      <w:keepLines/>
      <w:keepNext/>
      <w:spacing w:before="240" w:after="64" w:line="319" w:lineRule="auto"/>
      <w:outlineLvl w:val="8"/>
    </w:pPr>
    <w:rPr>
      <w:rFonts w:ascii="Arial" w:hAnsi="Arial" w:eastAsia="黑体"/>
      <w:szCs w:val="21"/>
    </w:rPr>
  </w:style>
  <w:style w:type="character" w:styleId="1056" w:customStyle="1">
    <w:name w:val="默认段落字体1"/>
    <w:link w:val="870"/>
    <w:uiPriority w:val="1"/>
    <w:unhideWhenUsed/>
    <w:qFormat/>
  </w:style>
  <w:style w:type="table" w:styleId="1057" w:customStyle="1">
    <w:name w:val="普通表格1"/>
    <w:uiPriority w:val="99"/>
    <w:unhideWhenUsed/>
    <w:qFormat/>
    <w:tblPr/>
  </w:style>
  <w:style w:type="paragraph" w:styleId="1058" w:customStyle="1">
    <w:name w:val="首行缩进"/>
    <w:basedOn w:val="870"/>
    <w:uiPriority w:val="99"/>
    <w:qFormat/>
    <w:pPr>
      <w:ind w:firstLine="480"/>
    </w:pPr>
    <w:rPr>
      <w:rFonts w:ascii="Calibri" w:hAnsi="Calibri"/>
      <w:lang w:val="zh-CN"/>
    </w:rPr>
  </w:style>
  <w:style w:type="character" w:styleId="1059" w:customStyle="1">
    <w:name w:val="标题 1 Char"/>
    <w:basedOn w:val="1056"/>
    <w:link w:val="1046"/>
    <w:uiPriority w:val="0"/>
    <w:qFormat/>
    <w:rPr>
      <w:rFonts w:ascii="楷体_GB2312" w:hAnsi="Times New Roman" w:eastAsia="楷体_GB2312" w:cs="Times New Roman"/>
      <w:sz w:val="28"/>
      <w:szCs w:val="28"/>
    </w:rPr>
  </w:style>
  <w:style w:type="character" w:styleId="1060" w:customStyle="1">
    <w:name w:val="标题 2 Char"/>
    <w:link w:val="872"/>
    <w:uiPriority w:val="0"/>
    <w:qFormat/>
    <w:rPr>
      <w:rFonts w:ascii="Arial" w:hAnsi="Arial" w:eastAsia="Arial" w:cs="Arial"/>
      <w:sz w:val="34"/>
    </w:rPr>
  </w:style>
  <w:style w:type="character" w:styleId="1061" w:customStyle="1">
    <w:name w:val="标题 3 Char"/>
    <w:basedOn w:val="1056"/>
    <w:link w:val="1048"/>
    <w:uiPriority w:val="0"/>
    <w:qFormat/>
    <w:rPr>
      <w:rFonts w:ascii="Times New Roman" w:hAnsi="Times New Roman" w:eastAsia="宋体" w:cs="Times New Roman"/>
      <w:sz w:val="32"/>
      <w:szCs w:val="32"/>
    </w:rPr>
  </w:style>
  <w:style w:type="character" w:styleId="1062" w:customStyle="1">
    <w:name w:val="标题 4 Char"/>
    <w:basedOn w:val="1056"/>
    <w:link w:val="1049"/>
    <w:uiPriority w:val="99"/>
    <w:qFormat/>
    <w:rPr>
      <w:rFonts w:ascii="Arial" w:hAnsi="Arial" w:eastAsia="黑体" w:cs="Arial"/>
      <w:sz w:val="28"/>
      <w:szCs w:val="28"/>
    </w:rPr>
  </w:style>
  <w:style w:type="character" w:styleId="1063" w:customStyle="1">
    <w:name w:val="标题 5 Char"/>
    <w:basedOn w:val="1056"/>
    <w:link w:val="1050"/>
    <w:uiPriority w:val="99"/>
    <w:qFormat/>
    <w:rPr>
      <w:rFonts w:ascii="宋体" w:hAnsi="Times New Roman" w:eastAsia="宋体" w:cs="Times New Roman"/>
      <w:color w:val="000000"/>
      <w:sz w:val="28"/>
      <w:szCs w:val="28"/>
    </w:rPr>
  </w:style>
  <w:style w:type="character" w:styleId="1064" w:customStyle="1">
    <w:name w:val="标题 6 Char"/>
    <w:basedOn w:val="1056"/>
    <w:link w:val="1052"/>
    <w:uiPriority w:val="0"/>
    <w:qFormat/>
    <w:rPr>
      <w:rFonts w:ascii="Arial" w:hAnsi="Arial" w:eastAsia="黑体" w:cs="Times New Roman"/>
      <w:b/>
      <w:bCs/>
      <w:sz w:val="24"/>
      <w:szCs w:val="24"/>
    </w:rPr>
  </w:style>
  <w:style w:type="character" w:styleId="1065" w:customStyle="1">
    <w:name w:val="标题 7 Char"/>
    <w:basedOn w:val="1056"/>
    <w:link w:val="1053"/>
    <w:uiPriority w:val="0"/>
    <w:qFormat/>
    <w:rPr>
      <w:rFonts w:ascii="Times New Roman" w:hAnsi="Times New Roman" w:eastAsia="宋体" w:cs="Times New Roman"/>
      <w:b/>
      <w:bCs/>
      <w:sz w:val="24"/>
      <w:szCs w:val="24"/>
    </w:rPr>
  </w:style>
  <w:style w:type="character" w:styleId="1066" w:customStyle="1">
    <w:name w:val="标题 8 Char"/>
    <w:basedOn w:val="1056"/>
    <w:link w:val="1054"/>
    <w:uiPriority w:val="0"/>
    <w:qFormat/>
    <w:rPr>
      <w:rFonts w:ascii="Arial" w:hAnsi="Arial" w:eastAsia="黑体" w:cs="Times New Roman"/>
      <w:sz w:val="24"/>
      <w:szCs w:val="24"/>
    </w:rPr>
  </w:style>
  <w:style w:type="character" w:styleId="1067" w:customStyle="1">
    <w:name w:val="标题 9 Char"/>
    <w:basedOn w:val="1056"/>
    <w:link w:val="1055"/>
    <w:uiPriority w:val="0"/>
    <w:qFormat/>
    <w:rPr>
      <w:rFonts w:ascii="Arial" w:hAnsi="Arial" w:eastAsia="黑体" w:cs="Times New Roman"/>
      <w:szCs w:val="21"/>
    </w:rPr>
  </w:style>
  <w:style w:type="paragraph" w:styleId="1068" w:customStyle="1">
    <w:name w:val="目录 71"/>
    <w:basedOn w:val="870"/>
    <w:next w:val="870"/>
    <w:uiPriority w:val="39"/>
    <w:unhideWhenUsed/>
    <w:qFormat/>
    <w:pPr>
      <w:ind w:left="1260"/>
      <w:jc w:val="left"/>
    </w:pPr>
    <w:rPr>
      <w:sz w:val="18"/>
      <w:szCs w:val="18"/>
    </w:rPr>
  </w:style>
  <w:style w:type="paragraph" w:styleId="1069" w:customStyle="1">
    <w:name w:val="题注1"/>
    <w:basedOn w:val="870"/>
    <w:next w:val="870"/>
    <w:uiPriority w:val="0"/>
    <w:qFormat/>
    <w:pPr>
      <w:jc w:val="center"/>
      <w:spacing w:line="360" w:lineRule="auto"/>
    </w:pPr>
    <w:rPr>
      <w:rFonts w:ascii="Arial Unicode MS" w:hAnsi="Arial Unicode MS" w:cs="宋体"/>
      <w:szCs w:val="21"/>
    </w:rPr>
  </w:style>
  <w:style w:type="paragraph" w:styleId="1070" w:customStyle="1">
    <w:name w:val="文档结构图1"/>
    <w:basedOn w:val="870"/>
    <w:link w:val="1071"/>
    <w:uiPriority w:val="0"/>
    <w:qFormat/>
    <w:pPr>
      <w:shd w:val="clear" w:color="auto" w:fill="000080"/>
    </w:pPr>
    <w:rPr>
      <w:rFonts w:ascii="Calibri" w:hAnsi="Calibri"/>
    </w:rPr>
  </w:style>
  <w:style w:type="character" w:styleId="1071" w:customStyle="1">
    <w:name w:val="文档结构图 Char"/>
    <w:basedOn w:val="1056"/>
    <w:link w:val="1070"/>
    <w:uiPriority w:val="0"/>
    <w:qFormat/>
    <w:rPr>
      <w:rFonts w:ascii="Calibri" w:hAnsi="Calibri" w:eastAsia="宋体" w:cs="Times New Roman"/>
      <w:szCs w:val="24"/>
      <w:shd w:val="clear" w:color="auto" w:fill="000080"/>
    </w:rPr>
  </w:style>
  <w:style w:type="paragraph" w:styleId="1072" w:customStyle="1">
    <w:name w:val="批注文字1"/>
    <w:basedOn w:val="870"/>
    <w:link w:val="1073"/>
    <w:uiPriority w:val="0"/>
    <w:qFormat/>
    <w:pPr>
      <w:jc w:val="left"/>
    </w:pPr>
    <w:rPr>
      <w:rFonts w:ascii="Calibri" w:hAnsi="Calibri"/>
    </w:rPr>
  </w:style>
  <w:style w:type="character" w:styleId="1073" w:customStyle="1">
    <w:name w:val="批注文字 Char"/>
    <w:basedOn w:val="1056"/>
    <w:link w:val="1072"/>
    <w:uiPriority w:val="0"/>
    <w:qFormat/>
    <w:rPr>
      <w:rFonts w:ascii="Calibri" w:hAnsi="Calibri" w:eastAsia="宋体" w:cs="Times New Roman"/>
      <w:szCs w:val="24"/>
    </w:rPr>
  </w:style>
  <w:style w:type="paragraph" w:styleId="1074" w:customStyle="1">
    <w:name w:val="正文文本 31"/>
    <w:basedOn w:val="870"/>
    <w:link w:val="1129"/>
    <w:uiPriority w:val="0"/>
    <w:qFormat/>
    <w:rPr>
      <w:rFonts w:ascii="仿宋_GB2312" w:hAnsi="Arial" w:eastAsia="仿宋_GB2312"/>
      <w:sz w:val="32"/>
      <w:szCs w:val="32"/>
    </w:rPr>
  </w:style>
  <w:style w:type="character" w:styleId="1075" w:customStyle="1">
    <w:name w:val="正文文本 3 Char"/>
    <w:basedOn w:val="1056"/>
    <w:link w:val="1074"/>
    <w:uiPriority w:val="0"/>
    <w:qFormat/>
    <w:rPr>
      <w:rFonts w:ascii="Times New Roman" w:hAnsi="Times New Roman" w:eastAsia="宋体" w:cs="Times New Roman"/>
      <w:sz w:val="16"/>
      <w:szCs w:val="16"/>
    </w:rPr>
  </w:style>
  <w:style w:type="paragraph" w:styleId="1076" w:customStyle="1">
    <w:name w:val="正文文本11"/>
    <w:basedOn w:val="870"/>
    <w:link w:val="1130"/>
    <w:uiPriority w:val="0"/>
    <w:qFormat/>
    <w:pPr>
      <w:spacing w:after="120"/>
    </w:pPr>
    <w:rPr>
      <w:rFonts w:ascii="Calibri" w:hAnsi="Calibri"/>
      <w:sz w:val="20"/>
    </w:rPr>
  </w:style>
  <w:style w:type="character" w:styleId="1077" w:customStyle="1">
    <w:name w:val="正文文本 Char"/>
    <w:basedOn w:val="1056"/>
    <w:link w:val="1076"/>
    <w:uiPriority w:val="0"/>
    <w:qFormat/>
    <w:rPr>
      <w:rFonts w:ascii="Times New Roman" w:hAnsi="Times New Roman" w:eastAsia="宋体" w:cs="Times New Roman"/>
      <w:szCs w:val="24"/>
    </w:rPr>
  </w:style>
  <w:style w:type="paragraph" w:styleId="1078" w:customStyle="1">
    <w:name w:val="正文文本缩进1"/>
    <w:basedOn w:val="870"/>
    <w:next w:val="1079"/>
    <w:link w:val="1131"/>
    <w:uiPriority w:val="0"/>
    <w:qFormat/>
    <w:pPr>
      <w:ind w:firstLine="645"/>
    </w:pPr>
    <w:rPr>
      <w:rFonts w:ascii="楷体_GB2312" w:hAnsi="Calibri" w:eastAsia="楷体_GB2312"/>
      <w:sz w:val="32"/>
      <w:szCs w:val="32"/>
    </w:rPr>
  </w:style>
  <w:style w:type="paragraph" w:styleId="1079" w:customStyle="1">
    <w:name w:val="寄信人地址1"/>
    <w:basedOn w:val="870"/>
    <w:uiPriority w:val="0"/>
    <w:qFormat/>
    <w:rPr>
      <w:rFonts w:ascii="Arial" w:hAnsi="Arial"/>
    </w:rPr>
  </w:style>
  <w:style w:type="character" w:styleId="1080" w:customStyle="1">
    <w:name w:val="正文文本缩进 Char"/>
    <w:basedOn w:val="1056"/>
    <w:link w:val="1078"/>
    <w:uiPriority w:val="0"/>
    <w:qFormat/>
    <w:rPr>
      <w:rFonts w:ascii="Times New Roman" w:hAnsi="Times New Roman" w:eastAsia="宋体" w:cs="Times New Roman"/>
      <w:szCs w:val="24"/>
    </w:rPr>
  </w:style>
  <w:style w:type="paragraph" w:styleId="1081" w:customStyle="1">
    <w:name w:val="索引 41"/>
    <w:basedOn w:val="870"/>
    <w:next w:val="870"/>
    <w:uiPriority w:val="0"/>
    <w:qFormat/>
    <w:pPr>
      <w:ind w:left="600"/>
    </w:pPr>
  </w:style>
  <w:style w:type="paragraph" w:styleId="1082" w:customStyle="1">
    <w:name w:val="目录 51"/>
    <w:basedOn w:val="870"/>
    <w:next w:val="870"/>
    <w:uiPriority w:val="39"/>
    <w:unhideWhenUsed/>
    <w:qFormat/>
    <w:pPr>
      <w:ind w:left="840"/>
      <w:jc w:val="left"/>
    </w:pPr>
    <w:rPr>
      <w:sz w:val="18"/>
      <w:szCs w:val="18"/>
    </w:rPr>
  </w:style>
  <w:style w:type="paragraph" w:styleId="1083" w:customStyle="1">
    <w:name w:val="目录 31"/>
    <w:basedOn w:val="870"/>
    <w:next w:val="870"/>
    <w:uiPriority w:val="39"/>
    <w:qFormat/>
    <w:pPr>
      <w:ind w:left="420"/>
      <w:jc w:val="left"/>
    </w:pPr>
    <w:rPr>
      <w:i/>
      <w:iCs/>
      <w:sz w:val="20"/>
      <w:szCs w:val="20"/>
    </w:rPr>
  </w:style>
  <w:style w:type="paragraph" w:styleId="1084" w:customStyle="1">
    <w:name w:val="纯文本11"/>
    <w:basedOn w:val="870"/>
    <w:link w:val="1132"/>
    <w:uiPriority w:val="0"/>
    <w:qFormat/>
    <w:rPr>
      <w:rFonts w:ascii="宋体" w:hAnsi="Courier New"/>
      <w:sz w:val="20"/>
      <w:szCs w:val="20"/>
    </w:rPr>
  </w:style>
  <w:style w:type="character" w:styleId="1085" w:customStyle="1">
    <w:name w:val="纯文本 Char"/>
    <w:basedOn w:val="1056"/>
    <w:link w:val="1084"/>
    <w:uiPriority w:val="0"/>
    <w:qFormat/>
    <w:rPr>
      <w:rFonts w:ascii="宋体" w:hAnsi="Courier New" w:eastAsia="宋体" w:cs="Courier New"/>
      <w:szCs w:val="21"/>
    </w:rPr>
  </w:style>
  <w:style w:type="paragraph" w:styleId="1086" w:customStyle="1">
    <w:name w:val="目录 81"/>
    <w:basedOn w:val="870"/>
    <w:next w:val="870"/>
    <w:uiPriority w:val="39"/>
    <w:unhideWhenUsed/>
    <w:qFormat/>
    <w:pPr>
      <w:ind w:left="1470"/>
      <w:jc w:val="left"/>
    </w:pPr>
    <w:rPr>
      <w:sz w:val="18"/>
      <w:szCs w:val="18"/>
    </w:rPr>
  </w:style>
  <w:style w:type="paragraph" w:styleId="1087" w:customStyle="1">
    <w:name w:val="日期1"/>
    <w:basedOn w:val="870"/>
    <w:next w:val="870"/>
    <w:link w:val="1133"/>
    <w:uiPriority w:val="0"/>
    <w:qFormat/>
    <w:rPr>
      <w:rFonts w:ascii="Calibri" w:hAnsi="Calibri"/>
      <w:sz w:val="24"/>
    </w:rPr>
  </w:style>
  <w:style w:type="character" w:styleId="1088" w:customStyle="1">
    <w:name w:val="日期 Char"/>
    <w:basedOn w:val="1056"/>
    <w:link w:val="1087"/>
    <w:uiPriority w:val="0"/>
    <w:qFormat/>
    <w:rPr>
      <w:rFonts w:ascii="Times New Roman" w:hAnsi="Times New Roman" w:eastAsia="宋体" w:cs="Times New Roman"/>
      <w:szCs w:val="24"/>
    </w:rPr>
  </w:style>
  <w:style w:type="paragraph" w:styleId="1089" w:customStyle="1">
    <w:name w:val="正文文本缩进 21"/>
    <w:basedOn w:val="870"/>
    <w:link w:val="1134"/>
    <w:uiPriority w:val="0"/>
    <w:qFormat/>
    <w:pPr>
      <w:ind w:left="630" w:firstLine="645"/>
    </w:pPr>
    <w:rPr>
      <w:rFonts w:ascii="Arial" w:hAnsi="Arial" w:eastAsia="仿宋_GB2312"/>
      <w:sz w:val="32"/>
      <w:szCs w:val="32"/>
    </w:rPr>
  </w:style>
  <w:style w:type="character" w:styleId="1090" w:customStyle="1">
    <w:name w:val="正文文本缩进 2 Char"/>
    <w:basedOn w:val="1056"/>
    <w:link w:val="1089"/>
    <w:uiPriority w:val="0"/>
    <w:qFormat/>
    <w:rPr>
      <w:rFonts w:ascii="Times New Roman" w:hAnsi="Times New Roman" w:eastAsia="宋体" w:cs="Times New Roman"/>
      <w:szCs w:val="24"/>
    </w:rPr>
  </w:style>
  <w:style w:type="paragraph" w:styleId="1091" w:customStyle="1">
    <w:name w:val="尾注文本1"/>
    <w:basedOn w:val="870"/>
    <w:link w:val="1092"/>
    <w:uiPriority w:val="0"/>
    <w:qFormat/>
    <w:pPr>
      <w:jc w:val="left"/>
    </w:pPr>
  </w:style>
  <w:style w:type="character" w:styleId="1092" w:customStyle="1">
    <w:name w:val="尾注文本 Char"/>
    <w:basedOn w:val="1056"/>
    <w:link w:val="1091"/>
    <w:uiPriority w:val="0"/>
    <w:qFormat/>
    <w:rPr>
      <w:rFonts w:ascii="Times New Roman" w:hAnsi="Times New Roman" w:eastAsia="宋体" w:cs="Times New Roman"/>
      <w:szCs w:val="24"/>
    </w:rPr>
  </w:style>
  <w:style w:type="paragraph" w:styleId="1093" w:customStyle="1">
    <w:name w:val="批注框文本1"/>
    <w:basedOn w:val="870"/>
    <w:link w:val="1135"/>
    <w:uiPriority w:val="99"/>
    <w:qFormat/>
    <w:rPr>
      <w:rFonts w:ascii="Calibri" w:hAnsi="Calibri"/>
      <w:sz w:val="18"/>
      <w:szCs w:val="18"/>
    </w:rPr>
  </w:style>
  <w:style w:type="character" w:styleId="1094" w:customStyle="1">
    <w:name w:val="批注框文本 Char"/>
    <w:basedOn w:val="1056"/>
    <w:link w:val="1093"/>
    <w:uiPriority w:val="99"/>
    <w:qFormat/>
    <w:rPr>
      <w:rFonts w:ascii="Times New Roman" w:hAnsi="Times New Roman" w:eastAsia="宋体" w:cs="Times New Roman"/>
      <w:sz w:val="18"/>
      <w:szCs w:val="18"/>
    </w:rPr>
  </w:style>
  <w:style w:type="paragraph" w:styleId="1095" w:customStyle="1">
    <w:name w:val="页脚1"/>
    <w:basedOn w:val="870"/>
    <w:link w:val="1136"/>
    <w:uiPriority w:val="99"/>
    <w:qFormat/>
    <w:pPr>
      <w:jc w:val="left"/>
      <w:tabs>
        <w:tab w:val="center" w:pos="4153" w:leader="none"/>
        <w:tab w:val="right" w:pos="8306" w:leader="none"/>
      </w:tabs>
    </w:pPr>
    <w:rPr>
      <w:rFonts w:ascii="Calibri" w:hAnsi="Calibri"/>
      <w:sz w:val="18"/>
      <w:szCs w:val="18"/>
    </w:rPr>
  </w:style>
  <w:style w:type="character" w:styleId="1096" w:customStyle="1">
    <w:name w:val="页脚 Char"/>
    <w:basedOn w:val="1056"/>
    <w:link w:val="1095"/>
    <w:uiPriority w:val="99"/>
    <w:qFormat/>
    <w:rPr>
      <w:rFonts w:ascii="Times New Roman" w:hAnsi="Times New Roman" w:eastAsia="宋体" w:cs="Times New Roman"/>
      <w:sz w:val="18"/>
      <w:szCs w:val="18"/>
    </w:rPr>
  </w:style>
  <w:style w:type="paragraph" w:styleId="1097" w:customStyle="1">
    <w:name w:val="页眉1"/>
    <w:basedOn w:val="870"/>
    <w:link w:val="1137"/>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98" w:customStyle="1">
    <w:name w:val="页眉 Char"/>
    <w:basedOn w:val="1056"/>
    <w:link w:val="1097"/>
    <w:uiPriority w:val="99"/>
    <w:qFormat/>
    <w:rPr>
      <w:rFonts w:ascii="Times New Roman" w:hAnsi="Times New Roman" w:eastAsia="宋体" w:cs="Times New Roman"/>
      <w:sz w:val="18"/>
      <w:szCs w:val="18"/>
    </w:rPr>
  </w:style>
  <w:style w:type="paragraph" w:styleId="1099" w:customStyle="1">
    <w:name w:val="目录 11"/>
    <w:basedOn w:val="870"/>
    <w:next w:val="870"/>
    <w:uiPriority w:val="39"/>
    <w:qFormat/>
    <w:pPr>
      <w:jc w:val="left"/>
      <w:spacing w:before="120" w:after="120"/>
    </w:pPr>
    <w:rPr>
      <w:b/>
      <w:bCs/>
      <w:caps/>
      <w:sz w:val="20"/>
      <w:szCs w:val="20"/>
    </w:rPr>
  </w:style>
  <w:style w:type="paragraph" w:styleId="1100" w:customStyle="1">
    <w:name w:val="目录 41"/>
    <w:basedOn w:val="870"/>
    <w:next w:val="870"/>
    <w:uiPriority w:val="39"/>
    <w:unhideWhenUsed/>
    <w:qFormat/>
    <w:pPr>
      <w:ind w:left="630"/>
      <w:jc w:val="left"/>
    </w:pPr>
    <w:rPr>
      <w:sz w:val="18"/>
      <w:szCs w:val="18"/>
    </w:rPr>
  </w:style>
  <w:style w:type="paragraph" w:styleId="1101" w:customStyle="1">
    <w:name w:val="副标题1"/>
    <w:basedOn w:val="870"/>
    <w:next w:val="870"/>
    <w:link w:val="1102"/>
    <w:uiPriority w:val="0"/>
    <w:qFormat/>
    <w:pPr>
      <w:ind w:firstLine="200"/>
      <w:jc w:val="left"/>
      <w:spacing w:line="360" w:lineRule="auto"/>
      <w:outlineLvl w:val="1"/>
    </w:pPr>
    <w:rPr>
      <w:rFonts w:ascii="Cambria" w:hAnsi="Cambria"/>
      <w:b/>
      <w:bCs/>
      <w:sz w:val="24"/>
      <w:szCs w:val="32"/>
    </w:rPr>
  </w:style>
  <w:style w:type="character" w:styleId="1102" w:customStyle="1">
    <w:name w:val="副标题 Char"/>
    <w:basedOn w:val="1056"/>
    <w:link w:val="1101"/>
    <w:uiPriority w:val="0"/>
    <w:qFormat/>
    <w:rPr>
      <w:rFonts w:ascii="Cambria" w:hAnsi="Cambria" w:eastAsia="宋体" w:cs="Times New Roman"/>
      <w:b/>
      <w:bCs/>
      <w:sz w:val="24"/>
      <w:szCs w:val="32"/>
    </w:rPr>
  </w:style>
  <w:style w:type="paragraph" w:styleId="1103" w:customStyle="1">
    <w:name w:val="脚注文本1"/>
    <w:basedOn w:val="870"/>
    <w:link w:val="1138"/>
    <w:uiPriority w:val="0"/>
    <w:qFormat/>
    <w:pPr>
      <w:jc w:val="left"/>
      <w:spacing w:line="312" w:lineRule="atLeast"/>
    </w:pPr>
    <w:rPr>
      <w:sz w:val="18"/>
      <w:szCs w:val="20"/>
    </w:rPr>
  </w:style>
  <w:style w:type="character" w:styleId="1104" w:customStyle="1">
    <w:name w:val="脚注文本 Char"/>
    <w:basedOn w:val="1056"/>
    <w:link w:val="1103"/>
    <w:uiPriority w:val="0"/>
    <w:qFormat/>
    <w:rPr>
      <w:rFonts w:ascii="Times New Roman" w:hAnsi="Times New Roman" w:eastAsia="宋体" w:cs="Times New Roman"/>
      <w:sz w:val="18"/>
      <w:szCs w:val="18"/>
    </w:rPr>
  </w:style>
  <w:style w:type="paragraph" w:styleId="1105" w:customStyle="1">
    <w:name w:val="目录 61"/>
    <w:basedOn w:val="870"/>
    <w:next w:val="870"/>
    <w:uiPriority w:val="39"/>
    <w:unhideWhenUsed/>
    <w:qFormat/>
    <w:pPr>
      <w:ind w:left="1050"/>
      <w:jc w:val="left"/>
    </w:pPr>
    <w:rPr>
      <w:sz w:val="18"/>
      <w:szCs w:val="18"/>
    </w:rPr>
  </w:style>
  <w:style w:type="paragraph" w:styleId="1106" w:customStyle="1">
    <w:name w:val="正文文本缩进 31"/>
    <w:basedOn w:val="870"/>
    <w:link w:val="1139"/>
    <w:uiPriority w:val="0"/>
    <w:qFormat/>
    <w:pPr>
      <w:ind w:left="645" w:firstLine="645"/>
    </w:pPr>
    <w:rPr>
      <w:rFonts w:ascii="Arial" w:hAnsi="Arial" w:eastAsia="仿宋_GB2312"/>
      <w:color w:val="ffff00"/>
      <w:sz w:val="32"/>
      <w:szCs w:val="32"/>
    </w:rPr>
  </w:style>
  <w:style w:type="character" w:styleId="1107" w:customStyle="1">
    <w:name w:val="正文文本缩进 3 Char"/>
    <w:basedOn w:val="1056"/>
    <w:link w:val="1106"/>
    <w:uiPriority w:val="0"/>
    <w:qFormat/>
    <w:rPr>
      <w:rFonts w:ascii="Times New Roman" w:hAnsi="Times New Roman" w:eastAsia="宋体" w:cs="Times New Roman"/>
      <w:sz w:val="16"/>
      <w:szCs w:val="16"/>
    </w:rPr>
  </w:style>
  <w:style w:type="paragraph" w:styleId="1108" w:customStyle="1">
    <w:name w:val="目录 211"/>
    <w:basedOn w:val="870"/>
    <w:next w:val="870"/>
    <w:uiPriority w:val="39"/>
    <w:qFormat/>
    <w:pPr>
      <w:ind w:left="210"/>
      <w:jc w:val="left"/>
    </w:pPr>
    <w:rPr>
      <w:smallCaps/>
      <w:sz w:val="20"/>
      <w:szCs w:val="20"/>
    </w:rPr>
  </w:style>
  <w:style w:type="paragraph" w:styleId="1109" w:customStyle="1">
    <w:name w:val="目录 91"/>
    <w:basedOn w:val="870"/>
    <w:next w:val="870"/>
    <w:uiPriority w:val="39"/>
    <w:unhideWhenUsed/>
    <w:qFormat/>
    <w:pPr>
      <w:ind w:left="1680"/>
      <w:jc w:val="left"/>
    </w:pPr>
    <w:rPr>
      <w:sz w:val="18"/>
      <w:szCs w:val="18"/>
    </w:rPr>
  </w:style>
  <w:style w:type="paragraph" w:styleId="1110" w:customStyle="1">
    <w:name w:val="正文文本 21"/>
    <w:basedOn w:val="870"/>
    <w:link w:val="1140"/>
    <w:uiPriority w:val="0"/>
    <w:qFormat/>
    <w:pPr>
      <w:jc w:val="center"/>
      <w:widowControl/>
    </w:pPr>
    <w:rPr>
      <w:rFonts w:ascii="楷体_GB2312" w:hAnsi="Calibri" w:eastAsia="楷体_GB2312"/>
      <w:sz w:val="28"/>
      <w:szCs w:val="28"/>
    </w:rPr>
  </w:style>
  <w:style w:type="character" w:styleId="1111" w:customStyle="1">
    <w:name w:val="正文文本 2 Char"/>
    <w:basedOn w:val="1056"/>
    <w:link w:val="1110"/>
    <w:uiPriority w:val="0"/>
    <w:qFormat/>
    <w:rPr>
      <w:rFonts w:ascii="Times New Roman" w:hAnsi="Times New Roman" w:eastAsia="宋体" w:cs="Times New Roman"/>
      <w:szCs w:val="24"/>
    </w:rPr>
  </w:style>
  <w:style w:type="paragraph" w:styleId="1112" w:customStyle="1">
    <w:name w:val="普通(网站)11"/>
    <w:basedOn w:val="870"/>
    <w:uiPriority w:val="0"/>
    <w:unhideWhenUsed/>
    <w:qFormat/>
    <w:pPr>
      <w:jc w:val="left"/>
      <w:spacing w:before="100" w:beforeAutospacing="1" w:after="100" w:afterAutospacing="1"/>
      <w:widowControl/>
    </w:pPr>
    <w:rPr>
      <w:rFonts w:ascii="宋体" w:hAnsi="宋体" w:cs="宋体"/>
      <w:sz w:val="24"/>
    </w:rPr>
  </w:style>
  <w:style w:type="paragraph" w:styleId="1113" w:customStyle="1">
    <w:name w:val="索引 11"/>
    <w:basedOn w:val="870"/>
    <w:next w:val="870"/>
    <w:uiPriority w:val="0"/>
    <w:qFormat/>
    <w:pPr>
      <w:jc w:val="center"/>
      <w:spacing w:line="220" w:lineRule="exact"/>
    </w:pPr>
    <w:rPr>
      <w:rFonts w:ascii="仿宋_GB2312" w:hAnsi="Calibri" w:eastAsia="仿宋_GB2312"/>
      <w:szCs w:val="21"/>
    </w:rPr>
  </w:style>
  <w:style w:type="paragraph" w:styleId="1114" w:customStyle="1">
    <w:name w:val="标题11"/>
    <w:basedOn w:val="870"/>
    <w:next w:val="870"/>
    <w:link w:val="1141"/>
    <w:uiPriority w:val="10"/>
    <w:qFormat/>
    <w:pPr>
      <w:jc w:val="center"/>
      <w:spacing w:before="240" w:after="60"/>
      <w:outlineLvl w:val="0"/>
    </w:pPr>
    <w:rPr>
      <w:rFonts w:ascii="Cambria" w:hAnsi="Cambria"/>
      <w:b/>
      <w:bCs/>
      <w:sz w:val="32"/>
      <w:szCs w:val="32"/>
    </w:rPr>
  </w:style>
  <w:style w:type="character" w:styleId="1115" w:customStyle="1">
    <w:name w:val="标题 Char"/>
    <w:basedOn w:val="1056"/>
    <w:link w:val="1114"/>
    <w:uiPriority w:val="10"/>
    <w:qFormat/>
    <w:rPr>
      <w:rFonts w:ascii="Cambria" w:hAnsi="Cambria" w:eastAsia="宋体" w:cs="Times New Roman"/>
      <w:b/>
      <w:bCs/>
      <w:sz w:val="32"/>
      <w:szCs w:val="32"/>
    </w:rPr>
  </w:style>
  <w:style w:type="paragraph" w:styleId="1116" w:customStyle="1">
    <w:name w:val="批注主题1"/>
    <w:basedOn w:val="1072"/>
    <w:next w:val="1072"/>
    <w:link w:val="1142"/>
    <w:uiPriority w:val="99"/>
    <w:qFormat/>
    <w:rPr>
      <w:b/>
      <w:bCs/>
      <w:sz w:val="20"/>
    </w:rPr>
  </w:style>
  <w:style w:type="character" w:styleId="1117" w:customStyle="1">
    <w:name w:val="批注主题 Char"/>
    <w:basedOn w:val="1073"/>
    <w:link w:val="1116"/>
    <w:uiPriority w:val="99"/>
    <w:qFormat/>
    <w:rPr>
      <w:b/>
      <w:bCs/>
    </w:rPr>
  </w:style>
  <w:style w:type="paragraph" w:styleId="1118" w:customStyle="1">
    <w:name w:val="正文首行缩进11"/>
    <w:basedOn w:val="1076"/>
    <w:link w:val="1143"/>
    <w:uiPriority w:val="0"/>
    <w:qFormat/>
    <w:pPr>
      <w:ind w:firstLine="200"/>
      <w:spacing w:line="360" w:lineRule="auto"/>
    </w:pPr>
    <w:rPr>
      <w:rFonts w:ascii="仿宋_GB2312" w:hAnsi="Arial" w:eastAsia="仿宋_GB2312"/>
      <w:sz w:val="30"/>
      <w:szCs w:val="30"/>
    </w:rPr>
  </w:style>
  <w:style w:type="character" w:styleId="1119" w:customStyle="1">
    <w:name w:val="正文首行缩进 Char"/>
    <w:basedOn w:val="1077"/>
    <w:link w:val="1118"/>
    <w:uiPriority w:val="0"/>
    <w:qFormat/>
  </w:style>
  <w:style w:type="paragraph" w:styleId="1120" w:customStyle="1">
    <w:name w:val="正文首行缩进 211"/>
    <w:basedOn w:val="1078"/>
    <w:link w:val="1144"/>
    <w:uiPriority w:val="0"/>
    <w:qFormat/>
    <w:pPr>
      <w:ind w:firstLine="420"/>
      <w:spacing w:line="360" w:lineRule="auto"/>
    </w:pPr>
    <w:rPr>
      <w:rFonts w:ascii="宋体" w:hAnsi="宋体"/>
      <w:sz w:val="20"/>
    </w:rPr>
  </w:style>
  <w:style w:type="character" w:styleId="1121" w:customStyle="1">
    <w:name w:val="正文首行缩进 2 Char"/>
    <w:basedOn w:val="1080"/>
    <w:link w:val="1120"/>
    <w:uiPriority w:val="0"/>
    <w:qFormat/>
  </w:style>
  <w:style w:type="table" w:styleId="1122" w:customStyle="1">
    <w:name w:val="网格型1"/>
    <w:basedOn w:val="1057"/>
    <w:uiPriority w:val="0"/>
    <w:qFormat/>
    <w:pPr>
      <w:jc w:val="both"/>
      <w:widowControl w:val="off"/>
    </w:pPr>
    <w:rPr>
      <w:rFonts w:ascii="Times New Roman" w:hAnsi="Times New Roman" w:eastAsia="宋体" w:cs="Times New Roman"/>
      <w:sz w:val="20"/>
      <w:szCs w:val="20"/>
    </w:rPr>
    <w:tblPr/>
  </w:style>
  <w:style w:type="character" w:styleId="1123" w:customStyle="1">
    <w:name w:val="要点1"/>
    <w:link w:val="870"/>
    <w:uiPriority w:val="0"/>
    <w:qFormat/>
    <w:rPr>
      <w:b/>
      <w:bCs/>
    </w:rPr>
  </w:style>
  <w:style w:type="character" w:styleId="1124" w:customStyle="1">
    <w:name w:val="页码1"/>
    <w:link w:val="870"/>
    <w:uiPriority w:val="99"/>
    <w:qFormat/>
  </w:style>
  <w:style w:type="character" w:styleId="1125" w:customStyle="1">
    <w:name w:val="已访问的超链接1"/>
    <w:link w:val="870"/>
    <w:uiPriority w:val="0"/>
    <w:qFormat/>
    <w:rPr>
      <w:color w:val="dd8905"/>
      <w:u w:val="none"/>
    </w:rPr>
  </w:style>
  <w:style w:type="character" w:styleId="1126" w:customStyle="1">
    <w:name w:val="强调1"/>
    <w:link w:val="870"/>
    <w:uiPriority w:val="0"/>
    <w:qFormat/>
    <w:rPr>
      <w:color w:val="cc0000"/>
    </w:rPr>
  </w:style>
  <w:style w:type="character" w:styleId="1127" w:customStyle="1">
    <w:name w:val="超链接1"/>
    <w:basedOn w:val="1056"/>
    <w:link w:val="870"/>
    <w:uiPriority w:val="99"/>
    <w:qFormat/>
    <w:rPr>
      <w:color w:val="336699"/>
      <w:sz w:val="18"/>
      <w:szCs w:val="18"/>
      <w:u w:val="none"/>
    </w:rPr>
  </w:style>
  <w:style w:type="character" w:styleId="1128" w:customStyle="1">
    <w:name w:val="批注引用1"/>
    <w:link w:val="870"/>
    <w:uiPriority w:val="0"/>
    <w:qFormat/>
    <w:rPr>
      <w:sz w:val="21"/>
      <w:szCs w:val="21"/>
    </w:rPr>
  </w:style>
  <w:style w:type="character" w:styleId="1129" w:customStyle="1">
    <w:name w:val="正文文本 3 Char1"/>
    <w:link w:val="1074"/>
    <w:uiPriority w:val="0"/>
    <w:qFormat/>
    <w:rPr>
      <w:rFonts w:ascii="仿宋_GB2312" w:hAnsi="Arial" w:eastAsia="仿宋_GB2312" w:cs="Times New Roman"/>
      <w:sz w:val="32"/>
      <w:szCs w:val="32"/>
    </w:rPr>
  </w:style>
  <w:style w:type="character" w:styleId="1130" w:customStyle="1">
    <w:name w:val="正文文本 Char1"/>
    <w:link w:val="1076"/>
    <w:uiPriority w:val="0"/>
    <w:qFormat/>
    <w:rPr>
      <w:rFonts w:ascii="Calibri" w:hAnsi="Calibri" w:eastAsia="宋体" w:cs="Times New Roman"/>
      <w:szCs w:val="24"/>
    </w:rPr>
  </w:style>
  <w:style w:type="character" w:styleId="1131" w:customStyle="1">
    <w:name w:val="正文文本缩进 Char1"/>
    <w:link w:val="1078"/>
    <w:uiPriority w:val="0"/>
    <w:qFormat/>
    <w:rPr>
      <w:rFonts w:ascii="楷体_GB2312" w:hAnsi="Calibri" w:eastAsia="楷体_GB2312" w:cs="Times New Roman"/>
      <w:sz w:val="32"/>
      <w:szCs w:val="32"/>
    </w:rPr>
  </w:style>
  <w:style w:type="character" w:styleId="1132" w:customStyle="1">
    <w:name w:val="纯文本 Char1"/>
    <w:link w:val="1084"/>
    <w:uiPriority w:val="0"/>
    <w:qFormat/>
    <w:rPr>
      <w:rFonts w:ascii="宋体" w:hAnsi="Courier New" w:eastAsia="宋体" w:cs="Times New Roman"/>
    </w:rPr>
  </w:style>
  <w:style w:type="character" w:styleId="1133" w:customStyle="1">
    <w:name w:val="日期 Char1"/>
    <w:link w:val="1087"/>
    <w:uiPriority w:val="0"/>
    <w:qFormat/>
    <w:rPr>
      <w:rFonts w:ascii="Calibri" w:hAnsi="Calibri" w:eastAsia="宋体" w:cs="Times New Roman"/>
      <w:sz w:val="24"/>
      <w:szCs w:val="24"/>
    </w:rPr>
  </w:style>
  <w:style w:type="character" w:styleId="1134" w:customStyle="1">
    <w:name w:val="正文文本缩进 2 Char1"/>
    <w:link w:val="1089"/>
    <w:uiPriority w:val="0"/>
    <w:qFormat/>
    <w:rPr>
      <w:rFonts w:ascii="Arial" w:hAnsi="Arial" w:eastAsia="仿宋_GB2312" w:cs="Times New Roman"/>
      <w:sz w:val="32"/>
      <w:szCs w:val="32"/>
    </w:rPr>
  </w:style>
  <w:style w:type="character" w:styleId="1135" w:customStyle="1">
    <w:name w:val="批注框文本 Char1"/>
    <w:link w:val="1093"/>
    <w:uiPriority w:val="99"/>
    <w:qFormat/>
    <w:rPr>
      <w:rFonts w:ascii="Calibri" w:hAnsi="Calibri" w:eastAsia="宋体" w:cs="Times New Roman"/>
      <w:sz w:val="18"/>
      <w:szCs w:val="18"/>
    </w:rPr>
  </w:style>
  <w:style w:type="character" w:styleId="1136" w:customStyle="1">
    <w:name w:val="页脚 Char1"/>
    <w:link w:val="1095"/>
    <w:uiPriority w:val="99"/>
    <w:qFormat/>
    <w:rPr>
      <w:rFonts w:ascii="Calibri" w:hAnsi="Calibri" w:eastAsia="宋体" w:cs="Times New Roman"/>
      <w:sz w:val="18"/>
      <w:szCs w:val="18"/>
    </w:rPr>
  </w:style>
  <w:style w:type="character" w:styleId="1137" w:customStyle="1">
    <w:name w:val="页眉 Char1"/>
    <w:link w:val="1097"/>
    <w:uiPriority w:val="99"/>
    <w:qFormat/>
    <w:rPr>
      <w:rFonts w:ascii="Calibri" w:hAnsi="Calibri" w:eastAsia="宋体" w:cs="Times New Roman"/>
      <w:sz w:val="18"/>
      <w:szCs w:val="18"/>
    </w:rPr>
  </w:style>
  <w:style w:type="character" w:styleId="1138" w:customStyle="1">
    <w:name w:val="脚注文本 Char1"/>
    <w:basedOn w:val="1056"/>
    <w:link w:val="1103"/>
    <w:uiPriority w:val="0"/>
    <w:qFormat/>
    <w:rPr>
      <w:rFonts w:ascii="Times New Roman" w:hAnsi="Times New Roman" w:eastAsia="宋体" w:cs="Times New Roman"/>
      <w:sz w:val="18"/>
      <w:szCs w:val="20"/>
    </w:rPr>
  </w:style>
  <w:style w:type="character" w:styleId="1139" w:customStyle="1">
    <w:name w:val="正文文本缩进 3 Char1"/>
    <w:link w:val="1106"/>
    <w:uiPriority w:val="0"/>
    <w:qFormat/>
    <w:rPr>
      <w:rFonts w:ascii="Arial" w:hAnsi="Arial" w:eastAsia="仿宋_GB2312" w:cs="Times New Roman"/>
      <w:color w:val="ffff00"/>
      <w:sz w:val="32"/>
      <w:szCs w:val="32"/>
    </w:rPr>
  </w:style>
  <w:style w:type="character" w:styleId="1140" w:customStyle="1">
    <w:name w:val="正文文本 2 Char1"/>
    <w:link w:val="1110"/>
    <w:uiPriority w:val="0"/>
    <w:qFormat/>
    <w:rPr>
      <w:rFonts w:ascii="楷体_GB2312" w:hAnsi="Calibri" w:eastAsia="楷体_GB2312" w:cs="Times New Roman"/>
      <w:sz w:val="28"/>
      <w:szCs w:val="28"/>
    </w:rPr>
  </w:style>
  <w:style w:type="character" w:styleId="1141" w:customStyle="1">
    <w:name w:val="标题 Char3"/>
    <w:basedOn w:val="1056"/>
    <w:link w:val="1114"/>
    <w:uiPriority w:val="10"/>
    <w:qFormat/>
    <w:rPr>
      <w:rFonts w:ascii="Cambria" w:hAnsi="Cambria" w:eastAsia="宋体" w:cs="Times New Roman"/>
      <w:b/>
      <w:bCs/>
      <w:sz w:val="32"/>
      <w:szCs w:val="32"/>
    </w:rPr>
  </w:style>
  <w:style w:type="character" w:styleId="1142" w:customStyle="1">
    <w:name w:val="批注主题 Char1"/>
    <w:link w:val="1116"/>
    <w:uiPriority w:val="99"/>
    <w:qFormat/>
    <w:rPr>
      <w:rFonts w:ascii="Calibri" w:hAnsi="Calibri" w:eastAsia="宋体" w:cs="Times New Roman"/>
      <w:b/>
      <w:bCs/>
      <w:szCs w:val="24"/>
    </w:rPr>
  </w:style>
  <w:style w:type="character" w:styleId="1143" w:customStyle="1">
    <w:name w:val="正文首行缩进 Char1"/>
    <w:link w:val="1118"/>
    <w:uiPriority w:val="0"/>
    <w:qFormat/>
    <w:rPr>
      <w:rFonts w:ascii="仿宋_GB2312" w:hAnsi="Arial" w:eastAsia="仿宋_GB2312" w:cs="Times New Roman"/>
      <w:sz w:val="30"/>
      <w:szCs w:val="30"/>
    </w:rPr>
  </w:style>
  <w:style w:type="character" w:styleId="1144" w:customStyle="1">
    <w:name w:val="正文首行缩进 2 Char1"/>
    <w:link w:val="1120"/>
    <w:uiPriority w:val="0"/>
    <w:qFormat/>
    <w:rPr>
      <w:rFonts w:ascii="宋体" w:hAnsi="宋体" w:eastAsia="楷体_GB2312" w:cs="Times New Roman"/>
      <w:szCs w:val="32"/>
    </w:rPr>
  </w:style>
  <w:style w:type="paragraph" w:styleId="1145" w:customStyle="1">
    <w:name w:val="正文首行缩进 21"/>
    <w:basedOn w:val="1146"/>
    <w:uiPriority w:val="0"/>
    <w:unhideWhenUsed/>
    <w:qFormat/>
    <w:pPr>
      <w:ind w:left="0" w:firstLine="420"/>
      <w:spacing w:after="0" w:line="360" w:lineRule="auto"/>
    </w:pPr>
    <w:rPr>
      <w:rFonts w:ascii="宋体" w:hAnsi="宋体"/>
      <w:szCs w:val="20"/>
    </w:rPr>
  </w:style>
  <w:style w:type="paragraph" w:styleId="1146" w:customStyle="1">
    <w:name w:val="正文文本缩进11"/>
    <w:basedOn w:val="870"/>
    <w:uiPriority w:val="99"/>
    <w:unhideWhenUsed/>
    <w:qFormat/>
    <w:pPr>
      <w:ind w:left="420"/>
      <w:spacing w:after="120"/>
    </w:pPr>
  </w:style>
  <w:style w:type="character" w:styleId="1147" w:customStyle="1">
    <w:name w:val="HTML 打字机1"/>
    <w:link w:val="870"/>
    <w:uiPriority w:val="0"/>
    <w:qFormat/>
    <w:rPr>
      <w:rFonts w:ascii="Times New Roman" w:hAnsi="Times New Roman"/>
      <w:sz w:val="21"/>
      <w:szCs w:val="24"/>
      <w:lang w:val="en-US" w:eastAsia="zh-CN" w:bidi="ar-SA"/>
    </w:rPr>
  </w:style>
  <w:style w:type="character" w:styleId="1148" w:customStyle="1">
    <w:name w:val="页脚 字符"/>
    <w:link w:val="870"/>
    <w:uiPriority w:val="99"/>
    <w:qFormat/>
    <w:rPr>
      <w:sz w:val="18"/>
      <w:szCs w:val="18"/>
    </w:rPr>
  </w:style>
  <w:style w:type="character" w:styleId="1149" w:customStyle="1">
    <w:name w:val="DL 段落缩进2 Char Char"/>
    <w:link w:val="1150"/>
    <w:uiPriority w:val="0"/>
    <w:qFormat/>
    <w:rPr>
      <w:szCs w:val="21"/>
    </w:rPr>
  </w:style>
  <w:style w:type="paragraph" w:styleId="1150" w:customStyle="1">
    <w:name w:val="DL 段落缩进2"/>
    <w:basedOn w:val="870"/>
    <w:link w:val="1149"/>
    <w:uiPriority w:val="0"/>
    <w:qFormat/>
    <w:pPr>
      <w:ind w:firstLine="420"/>
    </w:pPr>
    <w:rPr>
      <w:rFonts w:ascii="Calibri" w:hAnsi="Calibri"/>
      <w:sz w:val="20"/>
      <w:szCs w:val="21"/>
    </w:rPr>
  </w:style>
  <w:style w:type="character" w:styleId="1151" w:customStyle="1">
    <w:name w:val="H3 Char"/>
    <w:link w:val="870"/>
    <w:uiPriority w:val="0"/>
    <w:qFormat/>
    <w:rPr>
      <w:rFonts w:hint="eastAsia" w:ascii="宋体" w:hAnsi="宋体" w:eastAsia="宋体"/>
      <w:b/>
      <w:bCs/>
      <w:sz w:val="32"/>
      <w:szCs w:val="32"/>
      <w:lang w:val="en-US" w:eastAsia="zh-CN" w:bidi="ar-SA"/>
    </w:rPr>
  </w:style>
  <w:style w:type="character" w:styleId="1152" w:customStyle="1">
    <w:name w:val="H2 Char"/>
    <w:link w:val="870"/>
    <w:uiPriority w:val="0"/>
    <w:qFormat/>
    <w:rPr>
      <w:rFonts w:ascii="Arial" w:hAnsi="Arial" w:eastAsia="仿宋_GB2312" w:cs="Arial"/>
      <w:b/>
      <w:bCs/>
      <w:sz w:val="28"/>
      <w:szCs w:val="44"/>
      <w:lang w:val="en-US" w:eastAsia="zh-CN" w:bidi="ar-SA"/>
    </w:rPr>
  </w:style>
  <w:style w:type="character" w:styleId="1153" w:customStyle="1">
    <w:name w:val="样式 样式 正文缩进四号ALT+Z段1 Char Char Char段1 Char Char标题4body text鋘d... ...1 Char"/>
    <w:link w:val="1154"/>
    <w:uiPriority w:val="0"/>
    <w:qFormat/>
    <w:rPr>
      <w:rFonts w:ascii="宋体" w:hAnsi="宋体" w:eastAsia="宋体"/>
      <w:color w:val="000000"/>
      <w:szCs w:val="21"/>
    </w:rPr>
  </w:style>
  <w:style w:type="paragraph" w:styleId="1154" w:customStyle="1">
    <w:name w:val="样式 样式 正文缩进四号ALT+Z段1 Char Char Char段1 Char Char标题4body text鋘d... ...1"/>
    <w:basedOn w:val="870"/>
    <w:link w:val="1153"/>
    <w:uiPriority w:val="0"/>
    <w:qFormat/>
    <w:pPr>
      <w:ind w:firstLine="420"/>
    </w:pPr>
    <w:rPr>
      <w:rFonts w:ascii="宋体" w:hAnsi="宋体"/>
      <w:color w:val="000000"/>
      <w:sz w:val="20"/>
      <w:szCs w:val="21"/>
    </w:rPr>
  </w:style>
  <w:style w:type="character" w:styleId="1155" w:customStyle="1">
    <w:name w:val="正文缩进 Char"/>
    <w:link w:val="1156"/>
    <w:uiPriority w:val="0"/>
    <w:qFormat/>
    <w:rPr>
      <w:rFonts w:ascii="楷体_GB2312" w:eastAsia="楷体_GB2312"/>
      <w:sz w:val="24"/>
    </w:rPr>
  </w:style>
  <w:style w:type="paragraph" w:styleId="1156" w:customStyle="1">
    <w:name w:val="正文缩进1"/>
    <w:basedOn w:val="870"/>
    <w:link w:val="1155"/>
    <w:uiPriority w:val="0"/>
    <w:qFormat/>
    <w:pPr>
      <w:ind w:firstLine="420"/>
      <w:jc w:val="left"/>
    </w:pPr>
    <w:rPr>
      <w:rFonts w:ascii="楷体_GB2312" w:hAnsi="Calibri" w:eastAsia="楷体_GB2312"/>
      <w:sz w:val="24"/>
      <w:szCs w:val="20"/>
    </w:rPr>
  </w:style>
  <w:style w:type="character" w:styleId="1157" w:customStyle="1">
    <w:name w:val="md"/>
    <w:link w:val="870"/>
    <w:uiPriority w:val="0"/>
    <w:qFormat/>
  </w:style>
  <w:style w:type="character" w:styleId="1158" w:customStyle="1">
    <w:name w:val="H4 Char"/>
    <w:link w:val="870"/>
    <w:uiPriority w:val="0"/>
    <w:qFormat/>
    <w:rPr>
      <w:rFonts w:ascii="Arial" w:hAnsi="Arial" w:eastAsia="黑体" w:cs="Arial"/>
      <w:b/>
      <w:bCs/>
      <w:sz w:val="28"/>
      <w:szCs w:val="28"/>
      <w:lang w:val="en-US" w:eastAsia="zh-CN" w:bidi="ar-SA"/>
    </w:rPr>
  </w:style>
  <w:style w:type="character" w:styleId="1159" w:customStyle="1">
    <w:name w:val="普通文字 Char Char1"/>
    <w:link w:val="870"/>
    <w:uiPriority w:val="0"/>
    <w:qFormat/>
    <w:rPr>
      <w:rFonts w:ascii="宋体" w:hAnsi="Courier New" w:eastAsia="宋体"/>
      <w:sz w:val="21"/>
      <w:lang w:val="en-US" w:eastAsia="zh-CN" w:bidi="ar-SA"/>
    </w:rPr>
  </w:style>
  <w:style w:type="character" w:styleId="1160" w:customStyle="1">
    <w:name w:val="列出段落 Char"/>
    <w:link w:val="1161"/>
    <w:uiPriority w:val="34"/>
    <w:qFormat/>
    <w:rPr>
      <w:rFonts w:ascii="Calibri" w:hAnsi="Calibri" w:eastAsia="宋体" w:cs="Times New Roman"/>
    </w:rPr>
  </w:style>
  <w:style w:type="paragraph" w:styleId="1161" w:customStyle="1">
    <w:name w:val="列出段落"/>
    <w:basedOn w:val="870"/>
    <w:link w:val="1160"/>
    <w:uiPriority w:val="34"/>
    <w:qFormat/>
    <w:pPr>
      <w:ind w:firstLine="420"/>
    </w:pPr>
    <w:rPr>
      <w:rFonts w:ascii="Calibri" w:hAnsi="Calibri"/>
      <w:sz w:val="20"/>
      <w:szCs w:val="20"/>
    </w:rPr>
  </w:style>
  <w:style w:type="character" w:styleId="1162" w:customStyle="1">
    <w:name w:val="纯文本 字符"/>
    <w:link w:val="870"/>
    <w:uiPriority w:val="0"/>
    <w:qFormat/>
    <w:rPr>
      <w:rFonts w:ascii="宋体" w:hAnsi="Courier New" w:eastAsia="宋体"/>
      <w:sz w:val="21"/>
      <w:szCs w:val="22"/>
      <w:lang w:val="en-US" w:eastAsia="zh-CN" w:bidi="ar-SA"/>
    </w:rPr>
  </w:style>
  <w:style w:type="character" w:styleId="1163" w:customStyle="1">
    <w:name w:val="标题 3 字符"/>
    <w:link w:val="870"/>
    <w:uiPriority w:val="0"/>
    <w:qFormat/>
    <w:rPr>
      <w:rFonts w:eastAsia="宋体"/>
      <w:sz w:val="32"/>
      <w:szCs w:val="32"/>
      <w:lang w:val="en-US" w:eastAsia="zh-CN" w:bidi="ar-SA"/>
    </w:rPr>
  </w:style>
  <w:style w:type="character" w:styleId="1164" w:customStyle="1">
    <w:name w:val="正文文本 字符"/>
    <w:link w:val="870"/>
    <w:uiPriority w:val="0"/>
    <w:qFormat/>
    <w:rPr>
      <w:rFonts w:ascii="Calibri" w:hAnsi="Calibri" w:eastAsia="宋体"/>
      <w:sz w:val="21"/>
      <w:szCs w:val="24"/>
      <w:lang w:val="en-US" w:eastAsia="zh-CN" w:bidi="ar-SA"/>
    </w:rPr>
  </w:style>
  <w:style w:type="character" w:styleId="1165" w:customStyle="1">
    <w:name w:val="angel 字符"/>
    <w:link w:val="1166"/>
    <w:uiPriority w:val="0"/>
    <w:qFormat/>
    <w:rPr>
      <w:rFonts w:ascii="宋体" w:hAnsi="宋体"/>
      <w:szCs w:val="24"/>
    </w:rPr>
  </w:style>
  <w:style w:type="paragraph" w:styleId="1166" w:customStyle="1">
    <w:name w:val="angel"/>
    <w:basedOn w:val="870"/>
    <w:link w:val="1165"/>
    <w:uiPriority w:val="0"/>
    <w:qFormat/>
    <w:pPr>
      <w:ind w:firstLine="200"/>
      <w:spacing w:line="360" w:lineRule="auto"/>
    </w:pPr>
    <w:rPr>
      <w:rFonts w:ascii="宋体" w:hAnsi="宋体"/>
      <w:sz w:val="20"/>
    </w:rPr>
  </w:style>
  <w:style w:type="character" w:styleId="1167" w:customStyle="1">
    <w:name w:val="Indent Normal Char"/>
    <w:link w:val="1168"/>
    <w:uiPriority w:val="0"/>
    <w:qFormat/>
    <w:rPr>
      <w:sz w:val="24"/>
      <w:szCs w:val="24"/>
    </w:rPr>
  </w:style>
  <w:style w:type="paragraph" w:styleId="1168" w:customStyle="1">
    <w:name w:val="Indent Normal"/>
    <w:basedOn w:val="870"/>
    <w:link w:val="1167"/>
    <w:uiPriority w:val="0"/>
    <w:qFormat/>
    <w:pPr>
      <w:ind w:firstLine="150"/>
    </w:pPr>
    <w:rPr>
      <w:rFonts w:ascii="Calibri" w:hAnsi="Calibri"/>
      <w:sz w:val="24"/>
    </w:rPr>
  </w:style>
  <w:style w:type="character" w:styleId="1169" w:customStyle="1">
    <w:name w:val="样式1 Char"/>
    <w:link w:val="1170"/>
    <w:uiPriority w:val="0"/>
    <w:qFormat/>
    <w:rPr>
      <w:sz w:val="24"/>
      <w:szCs w:val="24"/>
    </w:rPr>
  </w:style>
  <w:style w:type="paragraph" w:styleId="1170" w:customStyle="1">
    <w:name w:val="样式1"/>
    <w:basedOn w:val="870"/>
    <w:link w:val="1169"/>
    <w:uiPriority w:val="0"/>
    <w:qFormat/>
    <w:pPr>
      <w:ind w:firstLine="480"/>
      <w:spacing w:line="300" w:lineRule="auto"/>
    </w:pPr>
    <w:rPr>
      <w:rFonts w:ascii="Calibri" w:hAnsi="Calibri"/>
      <w:sz w:val="24"/>
    </w:rPr>
  </w:style>
  <w:style w:type="paragraph" w:styleId="1171" w:customStyle="1">
    <w:name w:val="GP正文(首行缩进)"/>
    <w:basedOn w:val="870"/>
    <w:uiPriority w:val="0"/>
    <w:qFormat/>
    <w:pPr>
      <w:ind w:firstLine="200"/>
      <w:jc w:val="left"/>
      <w:spacing w:line="440" w:lineRule="exact"/>
    </w:pPr>
    <w:rPr>
      <w:sz w:val="24"/>
    </w:rPr>
  </w:style>
  <w:style w:type="paragraph" w:styleId="1172" w:customStyle="1">
    <w:name w:val="WPS Plain"/>
    <w:uiPriority w:val="0"/>
    <w:qFormat/>
    <w:rPr>
      <w:rFonts w:hint="default" w:ascii="Times New Roman" w:hAnsi="Times New Roman" w:eastAsia="宋体" w:cs="Times New Roman"/>
      <w:lang w:val="en-US" w:eastAsia="zh-CN" w:bidi="ar-SA"/>
    </w:rPr>
  </w:style>
  <w:style w:type="paragraph" w:styleId="1173" w:customStyle="1">
    <w:name w:val="列出段落1"/>
    <w:basedOn w:val="870"/>
    <w:uiPriority w:val="99"/>
    <w:qFormat/>
    <w:pPr>
      <w:ind w:firstLine="420"/>
    </w:pPr>
    <w:rPr>
      <w:rFonts w:ascii="Calibri" w:hAnsi="Calibri"/>
      <w:szCs w:val="22"/>
    </w:rPr>
  </w:style>
  <w:style w:type="paragraph" w:styleId="1174" w:customStyle="1">
    <w:name w:val="正文1"/>
    <w:uiPriority w:val="0"/>
    <w:qFormat/>
    <w:rPr>
      <w:rFonts w:hint="default" w:ascii="Times New Roman" w:hAnsi="Times New Roman" w:eastAsia="Times New Roman" w:cs="Times New Roman"/>
      <w:sz w:val="24"/>
      <w:szCs w:val="24"/>
      <w:lang w:val="en-US" w:eastAsia="zh-CN" w:bidi="ar-SA"/>
    </w:rPr>
  </w:style>
  <w:style w:type="paragraph" w:styleId="1175" w:customStyle="1">
    <w:name w:val="Date1"/>
    <w:basedOn w:val="870"/>
    <w:next w:val="870"/>
    <w:uiPriority w:val="0"/>
    <w:qFormat/>
    <w:pPr>
      <w:spacing w:line="360" w:lineRule="atLeast"/>
    </w:pPr>
    <w:rPr>
      <w:sz w:val="28"/>
      <w:szCs w:val="28"/>
    </w:rPr>
  </w:style>
  <w:style w:type="paragraph" w:styleId="1176" w:customStyle="1">
    <w:name w:val="样式"/>
    <w:link w:val="1177"/>
    <w:uiPriority w:val="0"/>
    <w:qFormat/>
    <w:pPr>
      <w:widowControl w:val="off"/>
    </w:pPr>
    <w:rPr>
      <w:rFonts w:hint="default" w:ascii="宋体" w:hAnsi="Times New Roman" w:eastAsia="宋体" w:cs="Times New Roman"/>
      <w:sz w:val="24"/>
      <w:szCs w:val="24"/>
      <w:lang w:bidi="ar-SA"/>
    </w:rPr>
  </w:style>
  <w:style w:type="character" w:styleId="1177" w:customStyle="1">
    <w:name w:val="样式 Char"/>
    <w:link w:val="1176"/>
    <w:uiPriority w:val="0"/>
    <w:qFormat/>
    <w:rPr>
      <w:rFonts w:ascii="宋体" w:hAnsi="Times New Roman"/>
      <w:sz w:val="24"/>
      <w:szCs w:val="24"/>
      <w:lang w:bidi="ar-SA"/>
    </w:rPr>
  </w:style>
  <w:style w:type="paragraph" w:styleId="1178" w:customStyle="1">
    <w:name w:val="reader-word-layer reader-word-s1-7"/>
    <w:basedOn w:val="870"/>
    <w:uiPriority w:val="0"/>
    <w:qFormat/>
    <w:pPr>
      <w:jc w:val="left"/>
      <w:spacing w:before="100" w:beforeAutospacing="1" w:after="100" w:afterAutospacing="1"/>
      <w:widowControl/>
    </w:pPr>
    <w:rPr>
      <w:rFonts w:ascii="宋体" w:hAnsi="宋体" w:cs="宋体"/>
      <w:sz w:val="24"/>
    </w:rPr>
  </w:style>
  <w:style w:type="paragraph" w:styleId="1179" w:customStyle="1">
    <w:name w:val="图例"/>
    <w:basedOn w:val="870"/>
    <w:uiPriority w:val="0"/>
    <w:qFormat/>
    <w:pPr>
      <w:jc w:val="center"/>
      <w:spacing w:before="120" w:after="120" w:line="360" w:lineRule="auto"/>
    </w:pPr>
    <w:rPr>
      <w:rFonts w:eastAsia="仿宋_GB2312"/>
      <w:b/>
      <w:bCs/>
      <w:sz w:val="24"/>
    </w:rPr>
  </w:style>
  <w:style w:type="paragraph" w:styleId="1180" w:customStyle="1">
    <w:name w:val="reader-word-layer reader-word-s1-6"/>
    <w:basedOn w:val="870"/>
    <w:uiPriority w:val="0"/>
    <w:qFormat/>
    <w:pPr>
      <w:jc w:val="left"/>
      <w:spacing w:before="100" w:beforeAutospacing="1" w:after="100" w:afterAutospacing="1"/>
      <w:widowControl/>
    </w:pPr>
    <w:rPr>
      <w:rFonts w:ascii="宋体" w:hAnsi="宋体" w:cs="宋体"/>
      <w:sz w:val="24"/>
    </w:rPr>
  </w:style>
  <w:style w:type="paragraph" w:styleId="1181" w:customStyle="1">
    <w:name w:val="普通正文"/>
    <w:basedOn w:val="870"/>
    <w:uiPriority w:val="0"/>
    <w:qFormat/>
    <w:pPr>
      <w:ind w:firstLine="480"/>
      <w:jc w:val="left"/>
      <w:spacing w:before="120" w:after="120" w:line="360" w:lineRule="auto"/>
    </w:pPr>
    <w:rPr>
      <w:rFonts w:ascii="Arial" w:hAnsi="Arial"/>
      <w:sz w:val="24"/>
    </w:rPr>
  </w:style>
  <w:style w:type="paragraph" w:styleId="1182" w:customStyle="1">
    <w:name w:val="标题1"/>
    <w:basedOn w:val="870"/>
    <w:next w:val="87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83" w:customStyle="1">
    <w:name w:val="段"/>
    <w:next w:val="870"/>
    <w:uiPriority w:val="0"/>
    <w:qFormat/>
    <w:pPr>
      <w:ind w:firstLine="200"/>
      <w:jc w:val="both"/>
    </w:pPr>
    <w:rPr>
      <w:rFonts w:hint="default" w:ascii="宋体" w:hAnsi="Times New Roman" w:eastAsia="宋体" w:cs="Times New Roman"/>
      <w:sz w:val="21"/>
      <w:lang w:val="en-US" w:eastAsia="zh-CN" w:bidi="ar-SA"/>
    </w:rPr>
  </w:style>
  <w:style w:type="paragraph" w:styleId="1184" w:customStyle="1">
    <w:name w:val="reader-word-layer reader-word-s1-9"/>
    <w:basedOn w:val="870"/>
    <w:uiPriority w:val="0"/>
    <w:qFormat/>
    <w:pPr>
      <w:jc w:val="left"/>
      <w:spacing w:before="100" w:beforeAutospacing="1" w:after="100" w:afterAutospacing="1"/>
      <w:widowControl/>
    </w:pPr>
    <w:rPr>
      <w:rFonts w:ascii="宋体" w:hAnsi="宋体" w:cs="宋体"/>
      <w:sz w:val="24"/>
    </w:rPr>
  </w:style>
  <w:style w:type="paragraph" w:styleId="1185" w:customStyle="1">
    <w:name w:val="reader-word-layer reader-word-s1-5"/>
    <w:basedOn w:val="870"/>
    <w:uiPriority w:val="0"/>
    <w:qFormat/>
    <w:pPr>
      <w:jc w:val="left"/>
      <w:spacing w:before="100" w:beforeAutospacing="1" w:after="100" w:afterAutospacing="1"/>
      <w:widowControl/>
    </w:pPr>
    <w:rPr>
      <w:rFonts w:ascii="宋体" w:hAnsi="宋体" w:cs="宋体"/>
      <w:sz w:val="24"/>
    </w:rPr>
  </w:style>
  <w:style w:type="paragraph" w:styleId="1186" w:customStyle="1">
    <w:name w:val="List Paragraph1"/>
    <w:basedOn w:val="870"/>
    <w:uiPriority w:val="0"/>
    <w:qFormat/>
    <w:pPr>
      <w:ind w:firstLine="420"/>
    </w:pPr>
    <w:rPr>
      <w:sz w:val="28"/>
      <w:szCs w:val="28"/>
    </w:rPr>
  </w:style>
  <w:style w:type="paragraph" w:styleId="1187" w:customStyle="1">
    <w:name w:val="1册标题2"/>
    <w:basedOn w:val="870"/>
    <w:next w:val="870"/>
    <w:uiPriority w:val="0"/>
    <w:qFormat/>
    <w:pPr>
      <w:jc w:val="center"/>
      <w:spacing w:line="300" w:lineRule="auto"/>
      <w:outlineLvl w:val="1"/>
    </w:pPr>
    <w:rPr>
      <w:rFonts w:ascii="Arial" w:hAnsi="Arial" w:eastAsia="黑体"/>
      <w:bCs/>
      <w:sz w:val="32"/>
    </w:rPr>
  </w:style>
  <w:style w:type="paragraph" w:styleId="1188"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1189" w:customStyle="1">
    <w:name w:val="二级条标题"/>
    <w:basedOn w:val="870"/>
    <w:next w:val="1183"/>
    <w:uiPriority w:val="0"/>
    <w:qFormat/>
    <w:pPr>
      <w:jc w:val="left"/>
      <w:spacing w:line="360" w:lineRule="auto"/>
      <w:widowControl/>
      <w:outlineLvl w:val="3"/>
    </w:pPr>
    <w:rPr>
      <w:rFonts w:ascii="宋体" w:hAnsi="宋体"/>
      <w:sz w:val="32"/>
      <w:szCs w:val="32"/>
    </w:rPr>
  </w:style>
  <w:style w:type="paragraph" w:styleId="1190" w:customStyle="1">
    <w:name w:val="DL 4.1"/>
    <w:basedOn w:val="870"/>
    <w:next w:val="870"/>
    <w:uiPriority w:val="0"/>
    <w:qFormat/>
    <w:pPr>
      <w:ind w:left="840" w:hanging="420"/>
      <w:jc w:val="left"/>
      <w:keepLines/>
      <w:keepNext/>
      <w:spacing w:line="400" w:lineRule="atLeast"/>
      <w:widowControl/>
      <w:outlineLvl w:val="1"/>
    </w:pPr>
    <w:rPr>
      <w:rFonts w:eastAsia="黑体" w:cs="宋体"/>
      <w:b/>
      <w:sz w:val="24"/>
      <w:szCs w:val="20"/>
    </w:rPr>
  </w:style>
  <w:style w:type="paragraph" w:styleId="1191" w:customStyle="1">
    <w:name w:val="xl25"/>
    <w:basedOn w:val="870"/>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92" w:customStyle="1">
    <w:name w:val="3.1DL"/>
    <w:basedOn w:val="870"/>
    <w:next w:val="870"/>
    <w:uiPriority w:val="0"/>
    <w:qFormat/>
    <w:pPr>
      <w:ind w:left="1155" w:hanging="420"/>
      <w:keepLines/>
      <w:keepNext/>
      <w:spacing w:line="400" w:lineRule="atLeast"/>
      <w:outlineLvl w:val="1"/>
    </w:pPr>
    <w:rPr>
      <w:rFonts w:eastAsia="黑体" w:cs="宋体"/>
      <w:sz w:val="24"/>
      <w:szCs w:val="20"/>
    </w:rPr>
  </w:style>
  <w:style w:type="character" w:styleId="1193" w:customStyle="1">
    <w:name w:val="未处理的提及"/>
    <w:link w:val="870"/>
    <w:uiPriority w:val="99"/>
    <w:unhideWhenUsed/>
    <w:qFormat/>
    <w:rPr>
      <w:color w:val="605e5c"/>
      <w:shd w:val="clear" w:color="auto" w:fill="e1dfdd"/>
    </w:rPr>
  </w:style>
  <w:style w:type="paragraph" w:styleId="1194" w:customStyle="1">
    <w:name w:val="Table Paragraph"/>
    <w:basedOn w:val="870"/>
    <w:uiPriority w:val="99"/>
    <w:qFormat/>
    <w:pPr>
      <w:jc w:val="left"/>
    </w:pPr>
    <w:rPr>
      <w:rFonts w:ascii="宋体" w:hAnsi="宋体" w:cs="宋体"/>
      <w:sz w:val="22"/>
      <w:szCs w:val="22"/>
      <w:lang w:eastAsia="en-US"/>
    </w:rPr>
  </w:style>
  <w:style w:type="character" w:styleId="1195" w:customStyle="1">
    <w:name w:val="l-btn-left"/>
    <w:basedOn w:val="1056"/>
    <w:link w:val="870"/>
    <w:uiPriority w:val="0"/>
    <w:qFormat/>
  </w:style>
  <w:style w:type="character" w:styleId="1196" w:customStyle="1">
    <w:name w:val="current"/>
    <w:basedOn w:val="1056"/>
    <w:link w:val="870"/>
    <w:uiPriority w:val="0"/>
    <w:qFormat/>
    <w:rPr>
      <w:b/>
      <w:bCs/>
      <w:color w:val="05a7d8"/>
      <w:sz w:val="18"/>
      <w:szCs w:val="18"/>
    </w:rPr>
  </w:style>
  <w:style w:type="character" w:styleId="1197" w:customStyle="1">
    <w:name w:val="l-btn-text31"/>
    <w:basedOn w:val="1056"/>
    <w:link w:val="870"/>
    <w:uiPriority w:val="0"/>
    <w:qFormat/>
  </w:style>
  <w:style w:type="character" w:styleId="1198" w:customStyle="1">
    <w:name w:val="l-btn-text25"/>
    <w:basedOn w:val="1056"/>
    <w:link w:val="870"/>
    <w:uiPriority w:val="0"/>
    <w:qFormat/>
  </w:style>
  <w:style w:type="character" w:styleId="1199" w:customStyle="1">
    <w:name w:val="l-btn-text"/>
    <w:basedOn w:val="1056"/>
    <w:link w:val="870"/>
    <w:uiPriority w:val="0"/>
    <w:qFormat/>
  </w:style>
  <w:style w:type="character" w:styleId="1200" w:customStyle="1">
    <w:name w:val="NormalCharacter1"/>
    <w:link w:val="870"/>
    <w:uiPriority w:val="0"/>
    <w:qFormat/>
    <w:rPr>
      <w:rFonts w:ascii="Calibri" w:hAnsi="Calibri" w:eastAsia="宋体" w:cs="Times New Roman"/>
      <w:sz w:val="21"/>
      <w:szCs w:val="24"/>
      <w:lang w:val="en-US" w:eastAsia="zh-CN" w:bidi="ar-SA"/>
    </w:rPr>
  </w:style>
  <w:style w:type="paragraph" w:styleId="1201" w:customStyle="1">
    <w:name w:val="z-窗体底端1"/>
    <w:basedOn w:val="870"/>
    <w:next w:val="870"/>
    <w:link w:val="1202"/>
    <w:uiPriority w:val="0"/>
    <w:qFormat/>
    <w:pPr>
      <w:jc w:val="center"/>
      <w:pBdr>
        <w:top w:val="single" w:color="000000" w:sz="6" w:space="1"/>
      </w:pBdr>
    </w:pPr>
    <w:rPr>
      <w:rFonts w:ascii="Arial" w:hAnsi="Calibri"/>
      <w:vanish/>
      <w:sz w:val="16"/>
    </w:rPr>
  </w:style>
  <w:style w:type="character" w:styleId="1202" w:customStyle="1">
    <w:name w:val="z-窗体底端 Char"/>
    <w:basedOn w:val="1056"/>
    <w:link w:val="1201"/>
    <w:uiPriority w:val="0"/>
    <w:qFormat/>
    <w:rPr>
      <w:rFonts w:ascii="Arial" w:hAnsi="Calibri" w:eastAsia="宋体" w:cs="Times New Roman"/>
      <w:vanish/>
      <w:sz w:val="16"/>
      <w:szCs w:val="24"/>
    </w:rPr>
  </w:style>
  <w:style w:type="paragraph" w:styleId="1203" w:customStyle="1">
    <w:name w:val="纯文本1"/>
    <w:basedOn w:val="870"/>
    <w:uiPriority w:val="0"/>
    <w:qFormat/>
    <w:rPr>
      <w:rFonts w:ascii="宋体" w:hAnsi="Courier New" w:cs="Courier New"/>
      <w:szCs w:val="21"/>
    </w:rPr>
  </w:style>
  <w:style w:type="paragraph" w:styleId="1204" w:customStyle="1">
    <w:name w:val="纯文本2"/>
    <w:basedOn w:val="870"/>
    <w:uiPriority w:val="0"/>
    <w:qFormat/>
    <w:rPr>
      <w:rFonts w:ascii="宋体" w:hAnsi="Courier New" w:cs="Courier New"/>
      <w:szCs w:val="21"/>
    </w:rPr>
  </w:style>
  <w:style w:type="character" w:styleId="1205" w:customStyle="1">
    <w:name w:val="不明显参考1"/>
    <w:link w:val="870"/>
    <w:uiPriority w:val="0"/>
    <w:qFormat/>
    <w:rPr>
      <w:smallCaps/>
      <w:color w:val="c0504d"/>
      <w:u w:val="single"/>
    </w:rPr>
  </w:style>
  <w:style w:type="character" w:styleId="1206" w:customStyle="1">
    <w:name w:val="Footer Char"/>
    <w:link w:val="870"/>
    <w:uiPriority w:val="0"/>
    <w:qFormat/>
    <w:rPr>
      <w:rFonts w:eastAsia="宋体"/>
      <w:sz w:val="18"/>
      <w:szCs w:val="18"/>
      <w:lang w:val="en-US" w:eastAsia="zh-CN" w:bidi="ar-SA"/>
    </w:rPr>
  </w:style>
  <w:style w:type="character" w:styleId="1207" w:customStyle="1">
    <w:name w:val="Char Char19"/>
    <w:link w:val="870"/>
    <w:uiPriority w:val="0"/>
    <w:qFormat/>
    <w:rPr>
      <w:rFonts w:ascii="Arial" w:hAnsi="Arial" w:eastAsia="宋体" w:cs="Times New Roman"/>
      <w:b/>
      <w:bCs/>
      <w:szCs w:val="28"/>
    </w:rPr>
  </w:style>
  <w:style w:type="character" w:styleId="1208" w:customStyle="1">
    <w:name w:val="Balloon Text Char"/>
    <w:link w:val="870"/>
    <w:uiPriority w:val="0"/>
    <w:qFormat/>
    <w:rPr>
      <w:sz w:val="18"/>
      <w:lang w:bidi="ar-SA"/>
    </w:rPr>
  </w:style>
  <w:style w:type="character" w:styleId="1209" w:customStyle="1">
    <w:name w:val="z-窗体顶端 Char1"/>
    <w:basedOn w:val="1056"/>
    <w:link w:val="1210"/>
    <w:uiPriority w:val="0"/>
    <w:qFormat/>
    <w:rPr>
      <w:rFonts w:ascii="Arial" w:hAnsi="Arial" w:cs="Arial"/>
      <w:vanish/>
      <w:sz w:val="16"/>
      <w:szCs w:val="16"/>
    </w:rPr>
  </w:style>
  <w:style w:type="paragraph" w:styleId="1210" w:customStyle="1">
    <w:name w:val="z-窗体顶端2"/>
    <w:basedOn w:val="870"/>
    <w:next w:val="870"/>
    <w:link w:val="1209"/>
    <w:uiPriority w:val="0"/>
    <w:qFormat/>
    <w:pPr>
      <w:jc w:val="center"/>
      <w:pBdr>
        <w:bottom w:val="single" w:color="000000" w:sz="6" w:space="1"/>
      </w:pBdr>
    </w:pPr>
    <w:rPr>
      <w:rFonts w:ascii="Arial" w:hAnsi="Arial" w:eastAsia="宋体" w:cs="Arial"/>
      <w:vanish/>
      <w:sz w:val="16"/>
      <w:szCs w:val="16"/>
    </w:rPr>
  </w:style>
  <w:style w:type="character" w:styleId="1211" w:customStyle="1">
    <w:name w:val="明显参考1"/>
    <w:link w:val="870"/>
    <w:uiPriority w:val="0"/>
    <w:qFormat/>
    <w:rPr>
      <w:b/>
      <w:bCs/>
      <w:smallCaps/>
      <w:color w:val="c0504d"/>
      <w:spacing w:val="5"/>
      <w:u w:val="single"/>
    </w:rPr>
  </w:style>
  <w:style w:type="character" w:styleId="1212" w:customStyle="1">
    <w:name w:val="Char Char20"/>
    <w:link w:val="870"/>
    <w:uiPriority w:val="0"/>
    <w:qFormat/>
    <w:rPr>
      <w:rFonts w:ascii="Times New Roman" w:hAnsi="Times New Roman" w:eastAsia="宋体" w:cs="Times New Roman"/>
      <w:b/>
      <w:bCs/>
      <w:sz w:val="24"/>
      <w:szCs w:val="32"/>
    </w:rPr>
  </w:style>
  <w:style w:type="character" w:styleId="1213" w:customStyle="1">
    <w:name w:val="标题 1 Char1"/>
    <w:link w:val="870"/>
    <w:uiPriority w:val="0"/>
    <w:qFormat/>
    <w:rPr>
      <w:rFonts w:ascii="Calibri" w:hAnsi="Calibri" w:eastAsia="宋体" w:cs="Arial"/>
      <w:b/>
      <w:sz w:val="44"/>
      <w:szCs w:val="20"/>
    </w:rPr>
  </w:style>
  <w:style w:type="character" w:styleId="1214" w:customStyle="1">
    <w:name w:val="Body Text Indent 2 Char"/>
    <w:link w:val="870"/>
    <w:uiPriority w:val="0"/>
    <w:qFormat/>
    <w:rPr>
      <w:rFonts w:eastAsia="宋体"/>
      <w:sz w:val="21"/>
      <w:szCs w:val="24"/>
      <w:lang w:val="en-US" w:eastAsia="zh-CN" w:bidi="ar-SA"/>
    </w:rPr>
  </w:style>
  <w:style w:type="character" w:styleId="1215" w:customStyle="1">
    <w:name w:val="Heading 4 Char"/>
    <w:link w:val="870"/>
    <w:uiPriority w:val="0"/>
    <w:qFormat/>
    <w:rPr>
      <w:rFonts w:ascii="Arial" w:hAnsi="Arial" w:eastAsia="宋体"/>
      <w:b/>
      <w:bCs/>
      <w:sz w:val="21"/>
      <w:szCs w:val="28"/>
      <w:lang w:val="en-US" w:eastAsia="zh-CN" w:bidi="ar-SA"/>
    </w:rPr>
  </w:style>
  <w:style w:type="character" w:styleId="1216" w:customStyle="1">
    <w:name w:val="标题4 Char Char"/>
    <w:link w:val="1217"/>
    <w:uiPriority w:val="0"/>
    <w:qFormat/>
    <w:rPr>
      <w:rFonts w:ascii="Arial" w:hAnsi="Arial"/>
      <w:b/>
      <w:bCs/>
      <w:sz w:val="24"/>
      <w:szCs w:val="32"/>
    </w:rPr>
  </w:style>
  <w:style w:type="paragraph" w:styleId="1217" w:customStyle="1">
    <w:name w:val="标题4"/>
    <w:basedOn w:val="1047"/>
    <w:next w:val="1081"/>
    <w:link w:val="1216"/>
    <w:uiPriority w:val="0"/>
    <w:qFormat/>
    <w:pPr>
      <w:jc w:val="both"/>
      <w:spacing w:before="60" w:after="60" w:line="413" w:lineRule="auto"/>
    </w:pPr>
    <w:rPr>
      <w:rFonts w:eastAsia="宋体" w:cs="Times New Roman"/>
      <w:b/>
      <w:bCs/>
      <w:sz w:val="24"/>
      <w:szCs w:val="32"/>
    </w:rPr>
  </w:style>
  <w:style w:type="character" w:styleId="1218" w:customStyle="1">
    <w:name w:val="批注文字 Char2"/>
    <w:link w:val="870"/>
    <w:uiPriority w:val="0"/>
    <w:qFormat/>
    <w:rPr>
      <w:rFonts w:eastAsia="宋体"/>
      <w:sz w:val="21"/>
      <w:szCs w:val="24"/>
      <w:lang w:val="en-US" w:eastAsia="zh-CN" w:bidi="ar-SA"/>
    </w:rPr>
  </w:style>
  <w:style w:type="character" w:styleId="1219" w:customStyle="1">
    <w:name w:val="Body Text Indent Char"/>
    <w:link w:val="870"/>
    <w:uiPriority w:val="0"/>
    <w:qFormat/>
    <w:rPr>
      <w:rFonts w:ascii="宋体" w:hAnsi="宋体" w:eastAsia="宋体"/>
      <w:sz w:val="21"/>
      <w:lang w:val="en-US" w:eastAsia="zh-CN" w:bidi="ar-SA"/>
    </w:rPr>
  </w:style>
  <w:style w:type="character" w:styleId="1220" w:customStyle="1">
    <w:name w:val="明显引用 Char"/>
    <w:link w:val="870"/>
    <w:uiPriority w:val="0"/>
    <w:qFormat/>
    <w:rPr>
      <w:b/>
      <w:bCs/>
      <w:i/>
      <w:iCs/>
      <w:color w:val="4f81bd"/>
    </w:rPr>
  </w:style>
  <w:style w:type="paragraph" w:styleId="1221" w:customStyle="1">
    <w:name w:val="明显引用"/>
    <w:basedOn w:val="870"/>
    <w:next w:val="870"/>
    <w:link w:val="1223"/>
    <w:uiPriority w:val="0"/>
    <w:qFormat/>
    <w:pPr>
      <w:ind w:left="936" w:right="936"/>
      <w:spacing w:before="200" w:after="280"/>
      <w:pBdr>
        <w:bottom w:val="single" w:color="4F81BD" w:sz="4" w:space="4"/>
      </w:pBdr>
    </w:pPr>
    <w:rPr>
      <w:b/>
      <w:bCs/>
      <w:i/>
      <w:iCs/>
      <w:color w:val="4f81bd"/>
      <w:sz w:val="20"/>
      <w:szCs w:val="20"/>
    </w:rPr>
  </w:style>
  <w:style w:type="character" w:styleId="1222" w:customStyle="1">
    <w:name w:val="明显引用 Char1"/>
    <w:basedOn w:val="1056"/>
    <w:link w:val="1221"/>
    <w:uiPriority w:val="30"/>
    <w:qFormat/>
    <w:rPr>
      <w:rFonts w:ascii="Times New Roman" w:hAnsi="Times New Roman" w:eastAsia="宋体" w:cs="Times New Roman"/>
      <w:b/>
      <w:bCs/>
      <w:i/>
      <w:iCs/>
      <w:color w:val="4f81bd"/>
      <w:szCs w:val="24"/>
    </w:rPr>
  </w:style>
  <w:style w:type="character" w:styleId="1223" w:customStyle="1">
    <w:name w:val="明显引用 Char2"/>
    <w:basedOn w:val="1056"/>
    <w:link w:val="1221"/>
    <w:uiPriority w:val="0"/>
    <w:qFormat/>
    <w:rPr>
      <w:rFonts w:ascii="Times New Roman" w:hAnsi="Times New Roman" w:eastAsia="宋体" w:cs="Times New Roman"/>
      <w:b/>
      <w:bCs/>
      <w:i/>
      <w:iCs/>
      <w:color w:val="4f81bd"/>
      <w:sz w:val="20"/>
      <w:szCs w:val="20"/>
    </w:rPr>
  </w:style>
  <w:style w:type="character" w:styleId="1224" w:customStyle="1">
    <w:name w:val="不明显强调1"/>
    <w:link w:val="870"/>
    <w:uiPriority w:val="0"/>
    <w:qFormat/>
    <w:rPr>
      <w:i/>
      <w:iCs/>
      <w:color w:val="808080"/>
    </w:rPr>
  </w:style>
  <w:style w:type="character" w:styleId="1225" w:customStyle="1">
    <w:name w:val="Comment Subject Char"/>
    <w:link w:val="870"/>
    <w:uiPriority w:val="0"/>
    <w:qFormat/>
    <w:rPr>
      <w:b/>
      <w:sz w:val="24"/>
      <w:lang w:bidi="ar-SA"/>
    </w:rPr>
  </w:style>
  <w:style w:type="character" w:styleId="1226" w:customStyle="1">
    <w:name w:val="Char Char2"/>
    <w:basedOn w:val="1056"/>
    <w:link w:val="870"/>
    <w:uiPriority w:val="0"/>
    <w:qFormat/>
    <w:rPr>
      <w:rFonts w:ascii="Arial" w:hAnsi="Arial" w:eastAsia="黑体"/>
      <w:b/>
      <w:bCs/>
      <w:sz w:val="32"/>
      <w:szCs w:val="32"/>
      <w:lang w:val="en-US" w:eastAsia="zh-CN" w:bidi="ar-SA"/>
    </w:rPr>
  </w:style>
  <w:style w:type="character" w:styleId="1227" w:customStyle="1">
    <w:name w:val="书籍标题1"/>
    <w:link w:val="870"/>
    <w:uiPriority w:val="0"/>
    <w:qFormat/>
    <w:rPr>
      <w:b/>
      <w:bCs/>
      <w:smallCaps/>
      <w:spacing w:val="5"/>
    </w:rPr>
  </w:style>
  <w:style w:type="character" w:styleId="1228" w:customStyle="1">
    <w:name w:val="Char Char5"/>
    <w:basedOn w:val="1056"/>
    <w:link w:val="870"/>
    <w:uiPriority w:val="0"/>
    <w:qFormat/>
    <w:rPr>
      <w:rFonts w:eastAsia="黑体"/>
      <w:b/>
      <w:bCs/>
      <w:sz w:val="72"/>
      <w:szCs w:val="44"/>
      <w:lang w:val="en-US" w:eastAsia="zh-CN" w:bidi="ar-SA"/>
    </w:rPr>
  </w:style>
  <w:style w:type="character" w:styleId="1229" w:customStyle="1">
    <w:name w:val="Heading 1 Char"/>
    <w:link w:val="870"/>
    <w:uiPriority w:val="0"/>
    <w:qFormat/>
    <w:rPr>
      <w:rFonts w:eastAsia="宋体"/>
      <w:b/>
      <w:bCs/>
      <w:sz w:val="32"/>
      <w:szCs w:val="44"/>
      <w:lang w:val="en-US" w:eastAsia="zh-CN" w:bidi="ar-SA"/>
    </w:rPr>
  </w:style>
  <w:style w:type="character" w:styleId="1230" w:customStyle="1">
    <w:name w:val="Char Char181"/>
    <w:link w:val="870"/>
    <w:uiPriority w:val="0"/>
    <w:qFormat/>
    <w:rPr>
      <w:b/>
      <w:bCs/>
      <w:sz w:val="44"/>
      <w:szCs w:val="44"/>
    </w:rPr>
  </w:style>
  <w:style w:type="character" w:styleId="1231" w:customStyle="1">
    <w:name w:val="Heading 2 Char"/>
    <w:link w:val="870"/>
    <w:uiPriority w:val="0"/>
    <w:qFormat/>
    <w:rPr>
      <w:rFonts w:ascii="Arial" w:hAnsi="Arial" w:eastAsia="黑体"/>
      <w:b/>
      <w:bCs/>
      <w:sz w:val="32"/>
      <w:szCs w:val="32"/>
      <w:lang w:val="en-US" w:eastAsia="zh-CN" w:bidi="ar-SA"/>
    </w:rPr>
  </w:style>
  <w:style w:type="character" w:styleId="1232" w:customStyle="1">
    <w:name w:val="超链接_0"/>
    <w:link w:val="870"/>
    <w:uiPriority w:val="99"/>
    <w:qFormat/>
    <w:rPr>
      <w:rFonts w:ascii="Calibri" w:hAnsi="Calibri" w:cs="Times New Roman"/>
      <w:color w:val="0000ff"/>
      <w:u w:val="single"/>
    </w:rPr>
  </w:style>
  <w:style w:type="character" w:styleId="1233" w:customStyle="1">
    <w:name w:val="批注文字 Char1"/>
    <w:link w:val="870"/>
    <w:uiPriority w:val="0"/>
    <w:qFormat/>
    <w:rPr>
      <w:rFonts w:ascii="Times New Roman" w:hAnsi="Times New Roman" w:eastAsia="宋体" w:cs="Times New Roman"/>
      <w:szCs w:val="24"/>
    </w:rPr>
  </w:style>
  <w:style w:type="character" w:styleId="1234" w:customStyle="1">
    <w:name w:val="Comment Text Char"/>
    <w:link w:val="870"/>
    <w:uiPriority w:val="0"/>
    <w:qFormat/>
    <w:rPr>
      <w:rFonts w:cs="Times New Roman"/>
      <w:sz w:val="24"/>
      <w:szCs w:val="24"/>
    </w:rPr>
  </w:style>
  <w:style w:type="character" w:styleId="1235" w:customStyle="1">
    <w:name w:val="Char Char Char"/>
    <w:basedOn w:val="1056"/>
    <w:link w:val="870"/>
    <w:uiPriority w:val="0"/>
    <w:qFormat/>
    <w:rPr>
      <w:rFonts w:eastAsia="黑体"/>
      <w:bCs/>
      <w:sz w:val="28"/>
      <w:szCs w:val="32"/>
      <w:lang w:val="en-US" w:eastAsia="zh-CN" w:bidi="ar-SA"/>
    </w:rPr>
  </w:style>
  <w:style w:type="character" w:styleId="1236" w:customStyle="1">
    <w:name w:val="明显强调1"/>
    <w:link w:val="870"/>
    <w:uiPriority w:val="0"/>
    <w:qFormat/>
    <w:rPr>
      <w:b/>
      <w:bCs/>
      <w:i/>
      <w:iCs/>
      <w:color w:val="4f81bd"/>
    </w:rPr>
  </w:style>
  <w:style w:type="character" w:styleId="1237" w:customStyle="1">
    <w:name w:val="标题 3 Char1"/>
    <w:link w:val="870"/>
    <w:uiPriority w:val="0"/>
    <w:qFormat/>
    <w:rPr>
      <w:rFonts w:ascii="Calibri" w:hAnsi="Calibri" w:eastAsia="宋体" w:cs="Arial"/>
      <w:b/>
      <w:sz w:val="32"/>
      <w:szCs w:val="20"/>
    </w:rPr>
  </w:style>
  <w:style w:type="character" w:styleId="1238" w:customStyle="1">
    <w:name w:val="Char Char6"/>
    <w:link w:val="870"/>
    <w:uiPriority w:val="0"/>
    <w:qFormat/>
    <w:rPr>
      <w:rFonts w:eastAsia="宋体"/>
      <w:b/>
      <w:bCs/>
      <w:sz w:val="32"/>
      <w:szCs w:val="44"/>
      <w:lang w:val="en-US" w:eastAsia="zh-CN" w:bidi="ar-SA"/>
    </w:rPr>
  </w:style>
  <w:style w:type="character" w:styleId="1239" w:customStyle="1">
    <w:name w:val="Plain Text Char"/>
    <w:link w:val="870"/>
    <w:uiPriority w:val="0"/>
    <w:qFormat/>
    <w:rPr>
      <w:rFonts w:ascii="宋体" w:hAnsi="Courier New" w:eastAsia="宋体"/>
      <w:sz w:val="24"/>
      <w:lang w:bidi="ar-SA"/>
    </w:rPr>
  </w:style>
  <w:style w:type="character" w:styleId="1240" w:customStyle="1">
    <w:name w:val="Char Char91"/>
    <w:link w:val="870"/>
    <w:uiPriority w:val="0"/>
    <w:qFormat/>
    <w:rPr>
      <w:rFonts w:eastAsia="宋体"/>
      <w:b/>
      <w:bCs/>
      <w:sz w:val="32"/>
      <w:szCs w:val="44"/>
      <w:lang w:val="en-US" w:eastAsia="zh-CN" w:bidi="ar-SA"/>
    </w:rPr>
  </w:style>
  <w:style w:type="character" w:styleId="1241" w:customStyle="1">
    <w:name w:val="标题 Char1"/>
    <w:link w:val="870"/>
    <w:uiPriority w:val="10"/>
    <w:qFormat/>
    <w:rPr>
      <w:rFonts w:ascii="Cambria" w:hAnsi="Cambria" w:eastAsia="宋体" w:cs="Times New Roman"/>
      <w:b/>
      <w:bCs/>
      <w:sz w:val="32"/>
      <w:szCs w:val="32"/>
    </w:rPr>
  </w:style>
  <w:style w:type="character" w:styleId="1242" w:customStyle="1">
    <w:name w:val="z-窗体底端 Char1"/>
    <w:basedOn w:val="1056"/>
    <w:link w:val="1243"/>
    <w:uiPriority w:val="0"/>
    <w:qFormat/>
    <w:rPr>
      <w:rFonts w:ascii="Arial" w:hAnsi="Arial" w:cs="Arial"/>
      <w:vanish/>
      <w:sz w:val="16"/>
      <w:szCs w:val="16"/>
    </w:rPr>
  </w:style>
  <w:style w:type="paragraph" w:styleId="1243" w:customStyle="1">
    <w:name w:val="z-窗体底端2"/>
    <w:basedOn w:val="870"/>
    <w:next w:val="870"/>
    <w:link w:val="1242"/>
    <w:uiPriority w:val="0"/>
    <w:qFormat/>
    <w:pPr>
      <w:jc w:val="center"/>
      <w:pBdr>
        <w:top w:val="single" w:color="000000" w:sz="6" w:space="1"/>
      </w:pBdr>
    </w:pPr>
    <w:rPr>
      <w:rFonts w:ascii="Arial" w:hAnsi="Arial" w:eastAsia="宋体" w:cs="Arial"/>
      <w:vanish/>
      <w:sz w:val="16"/>
      <w:szCs w:val="16"/>
    </w:rPr>
  </w:style>
  <w:style w:type="character" w:styleId="1244" w:customStyle="1">
    <w:name w:val="引用 Char1"/>
    <w:link w:val="870"/>
    <w:uiPriority w:val="29"/>
    <w:qFormat/>
    <w:rPr>
      <w:rFonts w:ascii="Times New Roman" w:hAnsi="Times New Roman" w:eastAsia="宋体" w:cs="Times New Roman"/>
      <w:i/>
      <w:iCs/>
      <w:color w:val="000000"/>
      <w:szCs w:val="24"/>
    </w:rPr>
  </w:style>
  <w:style w:type="character" w:styleId="1245" w:customStyle="1">
    <w:name w:val="Document Map Char"/>
    <w:link w:val="870"/>
    <w:uiPriority w:val="0"/>
    <w:qFormat/>
    <w:rPr>
      <w:rFonts w:eastAsia="宋体"/>
      <w:sz w:val="21"/>
      <w:szCs w:val="24"/>
      <w:lang w:val="en-US" w:eastAsia="zh-CN" w:bidi="ar-SA"/>
    </w:rPr>
  </w:style>
  <w:style w:type="character" w:styleId="1246" w:customStyle="1">
    <w:name w:val="副标题 Char1"/>
    <w:link w:val="870"/>
    <w:uiPriority w:val="11"/>
    <w:qFormat/>
    <w:rPr>
      <w:rFonts w:ascii="Cambria" w:hAnsi="Cambria" w:cs="Times New Roman"/>
      <w:b/>
      <w:bCs/>
      <w:sz w:val="32"/>
      <w:szCs w:val="32"/>
    </w:rPr>
  </w:style>
  <w:style w:type="character" w:styleId="1247" w:customStyle="1">
    <w:name w:val="z-窗体顶端 Char"/>
    <w:basedOn w:val="1056"/>
    <w:link w:val="870"/>
    <w:uiPriority w:val="0"/>
    <w:qFormat/>
    <w:rPr>
      <w:rFonts w:ascii="Arial" w:hAnsi="Arial" w:cs="Arial"/>
      <w:vanish/>
      <w:sz w:val="16"/>
      <w:szCs w:val="16"/>
    </w:rPr>
  </w:style>
  <w:style w:type="paragraph" w:styleId="1248" w:customStyle="1">
    <w:name w:val="z-窗体顶端1"/>
    <w:basedOn w:val="870"/>
    <w:next w:val="870"/>
    <w:link w:val="1249"/>
    <w:uiPriority w:val="0"/>
    <w:qFormat/>
    <w:pPr>
      <w:jc w:val="center"/>
      <w:pBdr>
        <w:bottom w:val="single" w:color="000000" w:sz="6" w:space="1"/>
      </w:pBdr>
    </w:pPr>
    <w:rPr>
      <w:rFonts w:ascii="Arial" w:hAnsi="Arial" w:cs="Arial"/>
      <w:vanish/>
      <w:sz w:val="16"/>
      <w:szCs w:val="16"/>
    </w:rPr>
  </w:style>
  <w:style w:type="character" w:styleId="1249" w:customStyle="1">
    <w:name w:val="z-窗体顶端 Char3"/>
    <w:basedOn w:val="1056"/>
    <w:link w:val="1248"/>
    <w:uiPriority w:val="0"/>
    <w:qFormat/>
    <w:rPr>
      <w:rFonts w:ascii="Arial" w:hAnsi="Arial" w:eastAsia="宋体" w:cs="Arial"/>
      <w:vanish/>
      <w:sz w:val="16"/>
      <w:szCs w:val="16"/>
    </w:rPr>
  </w:style>
  <w:style w:type="character" w:styleId="1250" w:customStyle="1">
    <w:name w:val="font11"/>
    <w:link w:val="870"/>
    <w:uiPriority w:val="99"/>
    <w:qFormat/>
    <w:rPr>
      <w:rFonts w:ascii="宋体" w:hAnsi="宋体" w:eastAsia="宋体" w:cs="宋体"/>
      <w:color w:val="000000"/>
      <w:sz w:val="20"/>
      <w:szCs w:val="20"/>
    </w:rPr>
  </w:style>
  <w:style w:type="character" w:styleId="1251" w:customStyle="1">
    <w:name w:val="Char Char21"/>
    <w:link w:val="870"/>
    <w:uiPriority w:val="0"/>
    <w:qFormat/>
    <w:rPr>
      <w:rFonts w:ascii="Arial" w:hAnsi="Arial" w:eastAsia="黑体" w:cs="Times New Roman"/>
      <w:b/>
      <w:bCs/>
      <w:sz w:val="32"/>
      <w:szCs w:val="32"/>
    </w:rPr>
  </w:style>
  <w:style w:type="character" w:styleId="1252" w:customStyle="1">
    <w:name w:val="Heading 3 Char"/>
    <w:link w:val="870"/>
    <w:uiPriority w:val="0"/>
    <w:qFormat/>
    <w:rPr>
      <w:rFonts w:cs="Times New Roman"/>
      <w:b/>
      <w:bCs/>
      <w:sz w:val="32"/>
      <w:szCs w:val="32"/>
    </w:rPr>
  </w:style>
  <w:style w:type="character" w:styleId="1253" w:customStyle="1">
    <w:name w:val="标题 Char2"/>
    <w:link w:val="870"/>
    <w:uiPriority w:val="0"/>
    <w:qFormat/>
    <w:rPr>
      <w:rFonts w:ascii="Cambria" w:hAnsi="Cambria" w:eastAsia="宋体" w:cs="Times New Roman"/>
      <w:b/>
      <w:bCs/>
      <w:sz w:val="32"/>
      <w:szCs w:val="32"/>
    </w:rPr>
  </w:style>
  <w:style w:type="character" w:styleId="1254" w:customStyle="1">
    <w:name w:val="Char Char3"/>
    <w:basedOn w:val="1056"/>
    <w:link w:val="870"/>
    <w:uiPriority w:val="0"/>
    <w:qFormat/>
    <w:rPr>
      <w:b/>
      <w:bCs/>
      <w:sz w:val="32"/>
      <w:szCs w:val="32"/>
    </w:rPr>
  </w:style>
  <w:style w:type="character" w:styleId="1255" w:customStyle="1">
    <w:name w:val="Blockquote Char Char"/>
    <w:basedOn w:val="1056"/>
    <w:link w:val="1256"/>
    <w:uiPriority w:val="0"/>
    <w:qFormat/>
    <w:rPr>
      <w:rFonts w:cs="宋体"/>
      <w:sz w:val="24"/>
      <w:szCs w:val="24"/>
    </w:rPr>
  </w:style>
  <w:style w:type="paragraph" w:styleId="1256" w:customStyle="1">
    <w:name w:val="Blockquote"/>
    <w:basedOn w:val="870"/>
    <w:link w:val="1255"/>
    <w:uiPriority w:val="0"/>
    <w:qFormat/>
    <w:pPr>
      <w:ind w:left="360" w:right="360"/>
      <w:jc w:val="left"/>
      <w:spacing w:before="100" w:after="100"/>
    </w:pPr>
    <w:rPr>
      <w:rFonts w:ascii="Calibri" w:hAnsi="Calibri" w:eastAsia="宋体" w:cs="宋体"/>
      <w:sz w:val="24"/>
    </w:rPr>
  </w:style>
  <w:style w:type="character" w:styleId="1257" w:customStyle="1">
    <w:name w:val="Char Char18"/>
    <w:link w:val="870"/>
    <w:uiPriority w:val="0"/>
    <w:qFormat/>
    <w:rPr>
      <w:rFonts w:ascii="Times New Roman" w:hAnsi="Times New Roman" w:eastAsia="宋体" w:cs="Times New Roman"/>
      <w:b/>
      <w:bCs/>
      <w:sz w:val="28"/>
      <w:szCs w:val="28"/>
    </w:rPr>
  </w:style>
  <w:style w:type="character" w:styleId="1258" w:customStyle="1">
    <w:name w:val="标题5 Char Char"/>
    <w:link w:val="1259"/>
    <w:uiPriority w:val="0"/>
    <w:qFormat/>
    <w:rPr>
      <w:rFonts w:ascii="Arial" w:hAnsi="Arial"/>
      <w:b/>
      <w:bCs/>
      <w:sz w:val="24"/>
      <w:szCs w:val="32"/>
    </w:rPr>
  </w:style>
  <w:style w:type="paragraph" w:styleId="1259" w:customStyle="1">
    <w:name w:val="标题5"/>
    <w:basedOn w:val="1048"/>
    <w:link w:val="1258"/>
    <w:uiPriority w:val="0"/>
    <w:qFormat/>
    <w:pPr>
      <w:spacing w:line="413" w:lineRule="auto"/>
    </w:pPr>
    <w:rPr>
      <w:rFonts w:ascii="Arial" w:hAnsi="Arial"/>
      <w:b/>
      <w:bCs/>
      <w:sz w:val="24"/>
    </w:rPr>
  </w:style>
  <w:style w:type="character" w:styleId="1260" w:customStyle="1">
    <w:name w:val="样式 粉红"/>
    <w:basedOn w:val="1056"/>
    <w:link w:val="870"/>
    <w:uiPriority w:val="0"/>
    <w:qFormat/>
    <w:rPr>
      <w:color w:val="000000"/>
      <w:u w:val="none"/>
    </w:rPr>
  </w:style>
  <w:style w:type="character" w:styleId="1261" w:customStyle="1">
    <w:name w:val="textcontents"/>
    <w:link w:val="870"/>
    <w:uiPriority w:val="0"/>
    <w:qFormat/>
    <w:rPr>
      <w:rFonts w:cs="Times New Roman"/>
    </w:rPr>
  </w:style>
  <w:style w:type="character" w:styleId="1262" w:customStyle="1">
    <w:name w:val="Footnote Text Char"/>
    <w:link w:val="870"/>
    <w:uiPriority w:val="0"/>
    <w:qFormat/>
    <w:rPr>
      <w:rFonts w:eastAsia="宋体"/>
      <w:sz w:val="18"/>
      <w:lang w:val="en-US" w:eastAsia="zh-CN" w:bidi="ar-SA"/>
    </w:rPr>
  </w:style>
  <w:style w:type="character" w:styleId="1263" w:customStyle="1">
    <w:name w:val="Char Char"/>
    <w:basedOn w:val="1056"/>
    <w:link w:val="870"/>
    <w:uiPriority w:val="0"/>
    <w:qFormat/>
    <w:rPr>
      <w:rFonts w:eastAsia="黑体"/>
      <w:bCs/>
      <w:sz w:val="28"/>
      <w:szCs w:val="32"/>
      <w:lang w:val="en-US" w:eastAsia="zh-CN" w:bidi="ar-SA"/>
    </w:rPr>
  </w:style>
  <w:style w:type="character" w:styleId="1264" w:customStyle="1">
    <w:name w:val="Char Char9"/>
    <w:link w:val="870"/>
    <w:uiPriority w:val="0"/>
    <w:qFormat/>
    <w:rPr>
      <w:rFonts w:eastAsia="宋体"/>
      <w:b/>
      <w:bCs/>
      <w:sz w:val="32"/>
      <w:szCs w:val="44"/>
      <w:lang w:val="en-US" w:eastAsia="zh-CN" w:bidi="ar-SA"/>
    </w:rPr>
  </w:style>
  <w:style w:type="character" w:styleId="1265" w:customStyle="1">
    <w:name w:val="Heading 5 Char"/>
    <w:link w:val="870"/>
    <w:uiPriority w:val="0"/>
    <w:qFormat/>
    <w:rPr>
      <w:rFonts w:eastAsia="宋体"/>
      <w:b/>
      <w:bCs/>
      <w:sz w:val="28"/>
      <w:szCs w:val="28"/>
      <w:lang w:val="en-US" w:eastAsia="zh-CN" w:bidi="ar-SA"/>
    </w:rPr>
  </w:style>
  <w:style w:type="character" w:styleId="1266" w:customStyle="1">
    <w:name w:val="文档结构图 Char1"/>
    <w:link w:val="870"/>
    <w:uiPriority w:val="99"/>
    <w:qFormat/>
    <w:rPr>
      <w:rFonts w:ascii="宋体" w:hAnsi="Times New Roman" w:eastAsia="宋体" w:cs="Times New Roman"/>
      <w:sz w:val="18"/>
      <w:szCs w:val="18"/>
    </w:rPr>
  </w:style>
  <w:style w:type="character" w:styleId="1267" w:customStyle="1">
    <w:name w:val="Heading 3 Char1"/>
    <w:link w:val="870"/>
    <w:uiPriority w:val="0"/>
    <w:qFormat/>
    <w:rPr>
      <w:rFonts w:eastAsia="宋体"/>
      <w:b/>
      <w:bCs/>
      <w:sz w:val="24"/>
      <w:szCs w:val="32"/>
      <w:lang w:val="en-US" w:eastAsia="zh-CN" w:bidi="ar-SA"/>
    </w:rPr>
  </w:style>
  <w:style w:type="character" w:styleId="1268" w:customStyle="1">
    <w:name w:val="Header Char"/>
    <w:link w:val="870"/>
    <w:uiPriority w:val="0"/>
    <w:qFormat/>
    <w:rPr>
      <w:rFonts w:eastAsia="宋体"/>
      <w:sz w:val="18"/>
      <w:szCs w:val="18"/>
      <w:lang w:val="en-US" w:eastAsia="zh-CN" w:bidi="ar-SA"/>
    </w:rPr>
  </w:style>
  <w:style w:type="character" w:styleId="1269" w:customStyle="1">
    <w:name w:val="Comment Text Char1"/>
    <w:link w:val="870"/>
    <w:uiPriority w:val="0"/>
    <w:qFormat/>
    <w:rPr>
      <w:sz w:val="24"/>
      <w:lang w:bidi="ar-SA"/>
    </w:rPr>
  </w:style>
  <w:style w:type="character" w:styleId="1270" w:customStyle="1">
    <w:name w:val="Char Char22"/>
    <w:link w:val="870"/>
    <w:uiPriority w:val="0"/>
    <w:qFormat/>
    <w:rPr>
      <w:rFonts w:ascii="Times New Roman" w:hAnsi="Times New Roman" w:eastAsia="宋体" w:cs="Times New Roman"/>
      <w:b/>
      <w:bCs/>
      <w:sz w:val="32"/>
      <w:szCs w:val="44"/>
    </w:rPr>
  </w:style>
  <w:style w:type="character" w:styleId="1271" w:customStyle="1">
    <w:name w:val="引用 Char"/>
    <w:link w:val="870"/>
    <w:uiPriority w:val="0"/>
    <w:qFormat/>
    <w:rPr>
      <w:i/>
      <w:iCs/>
      <w:color w:val="000000"/>
    </w:rPr>
  </w:style>
  <w:style w:type="paragraph" w:styleId="1272" w:customStyle="1">
    <w:name w:val="引用"/>
    <w:basedOn w:val="870"/>
    <w:next w:val="870"/>
    <w:link w:val="1273"/>
    <w:uiPriority w:val="0"/>
    <w:qFormat/>
    <w:rPr>
      <w:i/>
      <w:iCs/>
      <w:color w:val="000000"/>
      <w:sz w:val="20"/>
      <w:szCs w:val="20"/>
    </w:rPr>
  </w:style>
  <w:style w:type="character" w:styleId="1273" w:customStyle="1">
    <w:name w:val="引用 Char2"/>
    <w:basedOn w:val="1056"/>
    <w:link w:val="1272"/>
    <w:uiPriority w:val="0"/>
    <w:qFormat/>
    <w:rPr>
      <w:rFonts w:ascii="Times New Roman" w:hAnsi="Times New Roman" w:eastAsia="宋体" w:cs="Times New Roman"/>
      <w:i/>
      <w:iCs/>
      <w:color w:val="000000"/>
      <w:sz w:val="20"/>
      <w:szCs w:val="20"/>
    </w:rPr>
  </w:style>
  <w:style w:type="character" w:styleId="1274" w:customStyle="1">
    <w:name w:val="批注文字 Char Char"/>
    <w:link w:val="870"/>
    <w:uiPriority w:val="0"/>
    <w:qFormat/>
    <w:rPr>
      <w:rFonts w:ascii="宋体" w:hAnsi="Times New Roman" w:eastAsia="宋体" w:cs="Times New Roman"/>
      <w:sz w:val="28"/>
      <w:szCs w:val="20"/>
    </w:rPr>
  </w:style>
  <w:style w:type="character" w:styleId="1275" w:customStyle="1">
    <w:name w:val="Char Char24"/>
    <w:link w:val="870"/>
    <w:uiPriority w:val="0"/>
    <w:qFormat/>
    <w:rPr>
      <w:rFonts w:eastAsia="宋体"/>
      <w:b/>
      <w:bCs/>
      <w:sz w:val="32"/>
      <w:szCs w:val="44"/>
      <w:lang w:val="en-US" w:eastAsia="zh-CN" w:bidi="ar-SA"/>
    </w:rPr>
  </w:style>
  <w:style w:type="character" w:styleId="1276" w:customStyle="1">
    <w:name w:val="Date Char"/>
    <w:link w:val="870"/>
    <w:uiPriority w:val="0"/>
    <w:qFormat/>
    <w:rPr>
      <w:rFonts w:eastAsia="宋体"/>
      <w:sz w:val="21"/>
      <w:szCs w:val="24"/>
      <w:lang w:val="en-US" w:eastAsia="zh-CN" w:bidi="ar-SA"/>
    </w:rPr>
  </w:style>
  <w:style w:type="character" w:styleId="1277" w:customStyle="1">
    <w:name w:val="grame"/>
    <w:basedOn w:val="1056"/>
    <w:link w:val="870"/>
    <w:uiPriority w:val="0"/>
    <w:qFormat/>
  </w:style>
  <w:style w:type="character" w:styleId="1278" w:customStyle="1">
    <w:name w:val="Title Char"/>
    <w:link w:val="870"/>
    <w:uiPriority w:val="0"/>
    <w:qFormat/>
    <w:rPr>
      <w:rFonts w:ascii="Cambria" w:hAnsi="Cambria"/>
      <w:b/>
      <w:sz w:val="32"/>
      <w:lang w:bidi="ar-SA"/>
    </w:rPr>
  </w:style>
  <w:style w:type="character" w:styleId="1279" w:customStyle="1">
    <w:name w:val="Char Char23"/>
    <w:link w:val="870"/>
    <w:uiPriority w:val="0"/>
    <w:qFormat/>
    <w:rPr>
      <w:rFonts w:eastAsia="宋体"/>
      <w:b/>
      <w:bCs/>
      <w:sz w:val="32"/>
      <w:szCs w:val="44"/>
      <w:lang w:val="en-US" w:eastAsia="zh-CN" w:bidi="ar-SA"/>
    </w:rPr>
  </w:style>
  <w:style w:type="character" w:styleId="1280" w:customStyle="1">
    <w:name w:val="Char Char4"/>
    <w:basedOn w:val="1056"/>
    <w:link w:val="870"/>
    <w:uiPriority w:val="0"/>
    <w:qFormat/>
    <w:rPr>
      <w:rFonts w:ascii="Arial" w:hAnsi="Arial" w:eastAsia="黑体"/>
      <w:bCs/>
      <w:sz w:val="24"/>
      <w:szCs w:val="28"/>
      <w:lang w:val="en-US" w:eastAsia="zh-CN" w:bidi="ar-SA"/>
    </w:rPr>
  </w:style>
  <w:style w:type="character" w:styleId="1281" w:customStyle="1">
    <w:name w:val="标题 2 Char1"/>
    <w:link w:val="870"/>
    <w:uiPriority w:val="0"/>
    <w:qFormat/>
    <w:rPr>
      <w:rFonts w:ascii="Arial" w:hAnsi="Arial" w:eastAsia="黑体" w:cs="Calibri"/>
      <w:b/>
      <w:sz w:val="32"/>
      <w:szCs w:val="20"/>
    </w:rPr>
  </w:style>
  <w:style w:type="paragraph" w:styleId="1282" w:customStyle="1">
    <w:name w:val="p0"/>
    <w:basedOn w:val="870"/>
    <w:uiPriority w:val="0"/>
    <w:qFormat/>
    <w:pPr>
      <w:widowControl/>
    </w:pPr>
    <w:rPr>
      <w:rFonts w:ascii="Calibri" w:hAnsi="Calibri" w:cs="宋体"/>
      <w:szCs w:val="21"/>
    </w:rPr>
  </w:style>
  <w:style w:type="paragraph" w:styleId="1283" w:customStyle="1">
    <w:name w:val="正文_1"/>
    <w:uiPriority w:val="0"/>
    <w:qFormat/>
    <w:rPr>
      <w:rFonts w:hint="default" w:ascii="Times New Roman" w:hAnsi="Times New Roman" w:eastAsia="宋体" w:cs="Times New Roman"/>
      <w:sz w:val="21"/>
      <w:szCs w:val="22"/>
      <w:lang w:val="en-US" w:eastAsia="zh-CN" w:bidi="ar-SA"/>
    </w:rPr>
  </w:style>
  <w:style w:type="paragraph" w:styleId="128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5" w:customStyle="1">
    <w:name w:val="样式2"/>
    <w:basedOn w:val="870"/>
    <w:next w:val="1050"/>
    <w:uiPriority w:val="0"/>
    <w:qFormat/>
    <w:pPr>
      <w:jc w:val="center"/>
    </w:pPr>
    <w:rPr>
      <w:rFonts w:ascii="宋体" w:hAnsi="宋体" w:cs="Arial"/>
      <w:b/>
      <w:color w:val="000000"/>
      <w:szCs w:val="21"/>
    </w:rPr>
  </w:style>
  <w:style w:type="paragraph" w:styleId="1286" w:customStyle="1">
    <w:name w:val="标题_0"/>
    <w:basedOn w:val="1283"/>
    <w:uiPriority w:val="0"/>
    <w:qFormat/>
    <w:pPr>
      <w:jc w:val="center"/>
      <w:spacing w:before="120" w:after="120" w:line="360" w:lineRule="auto"/>
      <w:outlineLvl w:val="0"/>
    </w:pPr>
    <w:rPr>
      <w:rFonts w:ascii="黑体" w:hAnsi="Arial" w:eastAsia="黑体"/>
      <w:b/>
      <w:bCs/>
      <w:sz w:val="32"/>
      <w:szCs w:val="32"/>
    </w:rPr>
  </w:style>
  <w:style w:type="paragraph" w:styleId="1287" w:customStyle="1">
    <w:name w:val="样式 宋体"/>
    <w:basedOn w:val="870"/>
    <w:uiPriority w:val="0"/>
    <w:qFormat/>
    <w:pPr>
      <w:ind w:firstLine="100"/>
      <w:spacing w:line="360" w:lineRule="auto"/>
    </w:pPr>
    <w:rPr>
      <w:rFonts w:ascii="宋体" w:hAnsi="宋体" w:cs="宋体"/>
      <w:szCs w:val="20"/>
    </w:rPr>
  </w:style>
  <w:style w:type="paragraph" w:styleId="1288" w:customStyle="1">
    <w:name w:val="无间隔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TOC 标题1"/>
    <w:basedOn w:val="1046"/>
    <w:next w:val="870"/>
    <w:uiPriority w:val="0"/>
    <w:qFormat/>
    <w:pPr>
      <w:jc w:val="both"/>
      <w:keepLines/>
      <w:spacing w:before="340" w:after="330" w:line="576" w:lineRule="auto"/>
      <w:outlineLvl w:val="9"/>
    </w:pPr>
    <w:rPr>
      <w:rFonts w:ascii="Calibri" w:hAnsi="Calibri" w:eastAsia="黑体"/>
      <w:b/>
      <w:bCs/>
      <w:sz w:val="44"/>
      <w:szCs w:val="44"/>
    </w:rPr>
  </w:style>
  <w:style w:type="paragraph" w:styleId="1290" w:customStyle="1">
    <w:name w:val="1"/>
    <w:basedOn w:val="870"/>
    <w:next w:val="870"/>
    <w:uiPriority w:val="0"/>
    <w:qFormat/>
  </w:style>
  <w:style w:type="paragraph" w:styleId="1291" w:customStyle="1">
    <w:name w:val="red"/>
    <w:basedOn w:val="870"/>
    <w:uiPriority w:val="0"/>
    <w:qFormat/>
    <w:pPr>
      <w:jc w:val="left"/>
      <w:spacing w:before="100" w:beforeAutospacing="1" w:after="100" w:afterAutospacing="1"/>
      <w:widowControl/>
    </w:pPr>
    <w:rPr>
      <w:rFonts w:ascii="宋体" w:hAnsi="宋体" w:cs="宋体"/>
      <w:szCs w:val="21"/>
    </w:rPr>
  </w:style>
  <w:style w:type="paragraph" w:styleId="1292" w:customStyle="1">
    <w:name w:val="无间隔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样式 标题 3 + (中文) 黑体 小四 非加粗 段前: 7.8 磅 段后: 0 磅 行距: 固定值 20 磅"/>
    <w:basedOn w:val="1048"/>
    <w:uiPriority w:val="0"/>
    <w:qFormat/>
    <w:pPr>
      <w:spacing w:before="0" w:after="0" w:line="400" w:lineRule="exact"/>
    </w:pPr>
    <w:rPr>
      <w:rFonts w:eastAsia="黑体" w:cs="宋体"/>
      <w:sz w:val="21"/>
      <w:szCs w:val="20"/>
    </w:rPr>
  </w:style>
  <w:style w:type="paragraph" w:styleId="1294" w:customStyle="1">
    <w:name w:val="列出段落3"/>
    <w:basedOn w:val="870"/>
    <w:uiPriority w:val="0"/>
    <w:qFormat/>
    <w:pPr>
      <w:ind w:firstLine="420"/>
    </w:pPr>
    <w:rPr>
      <w:rFonts w:ascii="Calibri" w:hAnsi="Calibri"/>
      <w:szCs w:val="22"/>
    </w:rPr>
  </w:style>
  <w:style w:type="paragraph" w:styleId="1295"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样式 标题 2 + Times New Roman 四号 非加粗 段前: 5 磅 段后: 0 磅 行距: 固定值 20..."/>
    <w:basedOn w:val="1047"/>
    <w:uiPriority w:val="0"/>
    <w:qFormat/>
    <w:pPr>
      <w:jc w:val="both"/>
      <w:spacing w:before="100" w:after="0" w:line="400" w:lineRule="exact"/>
    </w:pPr>
    <w:rPr>
      <w:rFonts w:ascii="Times New Roman" w:hAnsi="Times New Roman" w:eastAsia="黑体" w:cs="宋体"/>
      <w:szCs w:val="20"/>
    </w:rPr>
  </w:style>
  <w:style w:type="paragraph" w:styleId="1297" w:customStyle="1">
    <w:name w:val="正文 + 黑体"/>
    <w:basedOn w:val="870"/>
    <w:uiPriority w:val="0"/>
    <w:qFormat/>
    <w:pPr>
      <w:jc w:val="left"/>
    </w:pPr>
    <w:rPr>
      <w:rFonts w:ascii="黑体" w:hAnsi="宋体" w:eastAsia="黑体" w:cs="TimesNewRomanPSMT"/>
      <w:sz w:val="24"/>
    </w:rPr>
  </w:style>
  <w:style w:type="paragraph" w:styleId="1298" w:customStyle="1">
    <w:name w:val="正文文本_0"/>
    <w:basedOn w:val="1284"/>
    <w:uiPriority w:val="0"/>
    <w:qFormat/>
    <w:pPr>
      <w:ind w:left="72" w:right="30"/>
      <w:jc w:val="center"/>
      <w:spacing w:after="60" w:line="360" w:lineRule="atLeast"/>
    </w:pPr>
    <w:rPr>
      <w:rFonts w:ascii="Times New Roman" w:hAnsi="Times New Roman"/>
      <w:sz w:val="20"/>
      <w:szCs w:val="20"/>
    </w:rPr>
  </w:style>
  <w:style w:type="paragraph" w:styleId="1299" w:customStyle="1">
    <w:name w:val="_Style 4"/>
    <w:basedOn w:val="870"/>
    <w:uiPriority w:val="0"/>
    <w:qFormat/>
    <w:pPr>
      <w:ind w:firstLine="420"/>
    </w:pPr>
    <w:rPr>
      <w:rFonts w:ascii="Calibri" w:hAnsi="Calibri"/>
      <w:szCs w:val="22"/>
    </w:rPr>
  </w:style>
  <w:style w:type="paragraph" w:styleId="1300" w:customStyle="1">
    <w:name w:val="列出段落21"/>
    <w:basedOn w:val="870"/>
    <w:uiPriority w:val="0"/>
    <w:qFormat/>
    <w:pPr>
      <w:ind w:firstLine="420"/>
    </w:pPr>
    <w:rPr>
      <w:rFonts w:ascii="Calibri" w:hAnsi="Calibri"/>
      <w:szCs w:val="22"/>
    </w:rPr>
  </w:style>
  <w:style w:type="paragraph" w:styleId="1301" w:customStyle="1">
    <w:name w:val="样式 样式 宋体 + 首行缩进:  1 字符"/>
    <w:basedOn w:val="1287"/>
    <w:uiPriority w:val="0"/>
    <w:qFormat/>
    <w:pPr>
      <w:spacing w:line="240" w:lineRule="auto"/>
    </w:pPr>
  </w:style>
  <w:style w:type="paragraph" w:styleId="1302" w:customStyle="1">
    <w:name w:val="z-窗体底端21"/>
    <w:basedOn w:val="870"/>
    <w:next w:val="870"/>
    <w:uiPriority w:val="0"/>
    <w:unhideWhenUsed/>
    <w:qFormat/>
    <w:pPr>
      <w:jc w:val="center"/>
      <w:pBdr>
        <w:top w:val="single" w:color="000000" w:sz="6" w:space="1"/>
      </w:pBdr>
    </w:pPr>
    <w:rPr>
      <w:rFonts w:ascii="Arial" w:hAnsi="Arial" w:cs="Arial"/>
      <w:vanish/>
      <w:sz w:val="16"/>
      <w:szCs w:val="16"/>
    </w:rPr>
  </w:style>
  <w:style w:type="paragraph" w:styleId="1303" w:customStyle="1">
    <w:name w:val="TOC 标题_0"/>
    <w:basedOn w:val="1304"/>
    <w:next w:val="1284"/>
    <w:uiPriority w:val="0"/>
    <w:qFormat/>
    <w:pPr>
      <w:outlineLvl w:val="9"/>
    </w:pPr>
    <w:rPr>
      <w:rFonts w:ascii="Calibri" w:hAnsi="Calibri"/>
    </w:rPr>
  </w:style>
  <w:style w:type="paragraph" w:styleId="1304" w:customStyle="1">
    <w:name w:val="标题 1_0"/>
    <w:basedOn w:val="1284"/>
    <w:next w:val="1284"/>
    <w:uiPriority w:val="0"/>
    <w:qFormat/>
    <w:pPr>
      <w:keepLines/>
      <w:keepNext/>
      <w:spacing w:before="340" w:after="330" w:line="576" w:lineRule="auto"/>
      <w:outlineLvl w:val="0"/>
    </w:pPr>
    <w:rPr>
      <w:rFonts w:ascii="Times New Roman" w:hAnsi="Times New Roman"/>
      <w:b/>
      <w:bCs/>
      <w:sz w:val="44"/>
      <w:szCs w:val="44"/>
    </w:rPr>
  </w:style>
  <w:style w:type="paragraph" w:styleId="1305" w:customStyle="1">
    <w:name w:val="金安桥正文"/>
    <w:basedOn w:val="1078"/>
    <w:uiPriority w:val="0"/>
    <w:qFormat/>
    <w:pPr>
      <w:ind w:firstLine="200"/>
      <w:jc w:val="left"/>
      <w:spacing w:line="300" w:lineRule="auto"/>
    </w:pPr>
    <w:rPr>
      <w:rFonts w:ascii="Times New Roman" w:hAnsi="Times New Roman" w:eastAsia="宋体"/>
      <w:sz w:val="24"/>
      <w:szCs w:val="20"/>
    </w:rPr>
  </w:style>
  <w:style w:type="paragraph" w:styleId="130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paragraph" w:styleId="1308"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309" w:customStyle="1">
    <w:name w:val="列出段落2"/>
    <w:basedOn w:val="870"/>
    <w:uiPriority w:val="0"/>
    <w:qFormat/>
    <w:pPr>
      <w:ind w:firstLine="420"/>
    </w:pPr>
    <w:rPr>
      <w:rFonts w:ascii="Calibri" w:hAnsi="Calibri"/>
      <w:szCs w:val="22"/>
    </w:rPr>
  </w:style>
  <w:style w:type="paragraph" w:styleId="1310" w:customStyle="1">
    <w:name w:val="z-窗体底端3"/>
    <w:basedOn w:val="870"/>
    <w:next w:val="870"/>
    <w:link w:val="1311"/>
    <w:uiPriority w:val="0"/>
    <w:qFormat/>
    <w:pPr>
      <w:jc w:val="center"/>
      <w:pBdr>
        <w:top w:val="single" w:color="000000" w:sz="6" w:space="1"/>
      </w:pBdr>
    </w:pPr>
    <w:rPr>
      <w:rFonts w:ascii="Arial" w:hAnsi="Arial" w:cs="Arial"/>
      <w:vanish/>
      <w:sz w:val="16"/>
      <w:szCs w:val="16"/>
    </w:rPr>
  </w:style>
  <w:style w:type="character" w:styleId="1311" w:customStyle="1">
    <w:name w:val="z-窗体底端 Char3"/>
    <w:basedOn w:val="1056"/>
    <w:link w:val="1310"/>
    <w:uiPriority w:val="0"/>
    <w:qFormat/>
    <w:rPr>
      <w:rFonts w:ascii="Arial" w:hAnsi="Arial" w:eastAsia="宋体" w:cs="Arial"/>
      <w:vanish/>
      <w:sz w:val="16"/>
      <w:szCs w:val="16"/>
    </w:rPr>
  </w:style>
  <w:style w:type="paragraph" w:styleId="1312" w:customStyle="1">
    <w:name w:val="正文缩进_0"/>
    <w:basedOn w:val="1283"/>
    <w:uiPriority w:val="0"/>
    <w:qFormat/>
    <w:pPr>
      <w:ind w:firstLine="420"/>
      <w:jc w:val="both"/>
      <w:widowControl w:val="off"/>
    </w:pPr>
    <w:rPr>
      <w:u w:val="single"/>
    </w:rPr>
  </w:style>
  <w:style w:type="paragraph" w:styleId="1313" w:customStyle="1">
    <w:name w:val="修订1"/>
    <w:uiPriority w:val="0"/>
    <w:qFormat/>
    <w:rPr>
      <w:rFonts w:hint="default" w:ascii="Times New Roman" w:hAnsi="Times New Roman" w:eastAsia="宋体" w:cs="Times New Roman"/>
      <w:sz w:val="21"/>
      <w:szCs w:val="24"/>
      <w:lang w:val="en-US" w:eastAsia="zh-CN" w:bidi="ar-SA"/>
    </w:rPr>
  </w:style>
  <w:style w:type="paragraph" w:styleId="1314" w:customStyle="1">
    <w:name w:val="z-窗体顶端21"/>
    <w:basedOn w:val="870"/>
    <w:next w:val="870"/>
    <w:uiPriority w:val="0"/>
    <w:unhideWhenUsed/>
    <w:qFormat/>
    <w:pPr>
      <w:jc w:val="center"/>
      <w:pBdr>
        <w:bottom w:val="single" w:color="000000" w:sz="6" w:space="1"/>
      </w:pBdr>
    </w:pPr>
    <w:rPr>
      <w:rFonts w:ascii="Arial" w:hAnsi="Arial" w:cs="Arial"/>
      <w:vanish/>
      <w:sz w:val="16"/>
      <w:szCs w:val="16"/>
    </w:rPr>
  </w:style>
  <w:style w:type="paragraph" w:styleId="1315" w:customStyle="1">
    <w:name w:val="标题 4_0"/>
    <w:basedOn w:val="1284"/>
    <w:next w:val="1284"/>
    <w:uiPriority w:val="0"/>
    <w:qFormat/>
    <w:pPr>
      <w:keepLines/>
      <w:keepNext/>
      <w:spacing w:before="280" w:after="290" w:line="372" w:lineRule="auto"/>
      <w:outlineLvl w:val="3"/>
    </w:pPr>
    <w:rPr>
      <w:rFonts w:ascii="Cambria" w:hAnsi="Cambria"/>
      <w:b/>
      <w:bCs/>
      <w:sz w:val="28"/>
      <w:szCs w:val="28"/>
    </w:rPr>
  </w:style>
  <w:style w:type="paragraph" w:styleId="1316" w:customStyle="1">
    <w:name w:val="z-窗体顶端3"/>
    <w:basedOn w:val="870"/>
    <w:next w:val="870"/>
    <w:uiPriority w:val="0"/>
    <w:unhideWhenUsed/>
    <w:qFormat/>
    <w:pPr>
      <w:jc w:val="center"/>
      <w:pBdr>
        <w:bottom w:val="single" w:color="000000" w:sz="6" w:space="1"/>
      </w:pBdr>
    </w:pPr>
    <w:rPr>
      <w:rFonts w:ascii="Arial" w:hAnsi="Arial" w:cs="Arial"/>
      <w:vanish/>
      <w:sz w:val="16"/>
      <w:szCs w:val="16"/>
    </w:rPr>
  </w:style>
  <w:style w:type="paragraph" w:styleId="1317" w:customStyle="1">
    <w:name w:val="标题 3_0"/>
    <w:basedOn w:val="1284"/>
    <w:next w:val="1284"/>
    <w:uiPriority w:val="0"/>
    <w:qFormat/>
    <w:pPr>
      <w:keepLines/>
      <w:keepNext/>
      <w:spacing w:before="260" w:after="260" w:line="413" w:lineRule="auto"/>
      <w:outlineLvl w:val="2"/>
    </w:pPr>
    <w:rPr>
      <w:rFonts w:ascii="Times New Roman" w:hAnsi="Times New Roman"/>
      <w:b/>
      <w:bCs/>
      <w:sz w:val="32"/>
      <w:szCs w:val="32"/>
    </w:rPr>
  </w:style>
  <w:style w:type="paragraph" w:styleId="1318" w:customStyle="1">
    <w:name w:val="reader-word-layer reader-word-s1-45"/>
    <w:basedOn w:val="870"/>
    <w:uiPriority w:val="0"/>
    <w:qFormat/>
    <w:pPr>
      <w:jc w:val="left"/>
      <w:spacing w:before="100" w:beforeAutospacing="1" w:after="100" w:afterAutospacing="1"/>
      <w:widowControl/>
    </w:pPr>
    <w:rPr>
      <w:rFonts w:ascii="宋体" w:hAnsi="宋体" w:cs="宋体"/>
      <w:sz w:val="24"/>
    </w:rPr>
  </w:style>
  <w:style w:type="paragraph" w:styleId="1319" w:customStyle="1">
    <w:name w:val="reader-word-layer reader-word-s1-39"/>
    <w:basedOn w:val="870"/>
    <w:uiPriority w:val="0"/>
    <w:qFormat/>
    <w:pPr>
      <w:jc w:val="left"/>
      <w:spacing w:before="100" w:beforeAutospacing="1" w:after="100" w:afterAutospacing="1"/>
      <w:widowControl/>
    </w:pPr>
    <w:rPr>
      <w:rFonts w:ascii="宋体" w:hAnsi="宋体" w:cs="宋体"/>
      <w:sz w:val="24"/>
    </w:rPr>
  </w:style>
  <w:style w:type="paragraph" w:styleId="1320" w:customStyle="1">
    <w:name w:val="副标题_0_0"/>
    <w:basedOn w:val="1321"/>
    <w:next w:val="1321"/>
    <w:link w:val="1322"/>
    <w:uiPriority w:val="0"/>
    <w:qFormat/>
    <w:pPr>
      <w:jc w:val="center"/>
      <w:spacing w:before="240" w:after="60" w:line="312" w:lineRule="auto"/>
      <w:outlineLvl w:val="1"/>
    </w:pPr>
    <w:rPr>
      <w:rFonts w:ascii="Cambria" w:hAnsi="Cambria"/>
      <w:b/>
      <w:bCs/>
      <w:sz w:val="32"/>
      <w:szCs w:val="32"/>
    </w:rPr>
  </w:style>
  <w:style w:type="paragraph" w:styleId="1321" w:customStyle="1">
    <w:name w:val="正文_4_0"/>
    <w:uiPriority w:val="0"/>
    <w:qFormat/>
    <w:pPr>
      <w:jc w:val="both"/>
      <w:widowControl w:val="off"/>
    </w:pPr>
    <w:rPr>
      <w:rFonts w:hint="default" w:ascii="Times New Roman" w:hAnsi="Times New Roman" w:eastAsia="宋体" w:cs="Times New Roman"/>
      <w:lang w:val="en-US" w:eastAsia="zh-CN" w:bidi="ar-SA"/>
    </w:rPr>
  </w:style>
  <w:style w:type="character" w:styleId="1322" w:customStyle="1">
    <w:name w:val="副标题 Char_0_0"/>
    <w:link w:val="1320"/>
    <w:uiPriority w:val="0"/>
    <w:qFormat/>
    <w:rPr>
      <w:rFonts w:ascii="Cambria" w:hAnsi="Cambria" w:eastAsia="宋体" w:cs="Times New Roman"/>
      <w:b/>
      <w:bCs/>
      <w:sz w:val="32"/>
      <w:szCs w:val="32"/>
    </w:rPr>
  </w:style>
  <w:style w:type="paragraph" w:styleId="1323" w:customStyle="1">
    <w:name w:val="标题 2_0_0"/>
    <w:basedOn w:val="1321"/>
    <w:next w:val="1321"/>
    <w:link w:val="1324"/>
    <w:uiPriority w:val="0"/>
    <w:qFormat/>
    <w:pPr>
      <w:keepLines/>
      <w:keepNext/>
      <w:spacing w:before="260" w:after="260" w:line="416" w:lineRule="auto"/>
      <w:outlineLvl w:val="1"/>
    </w:pPr>
    <w:rPr>
      <w:rFonts w:ascii="Arial" w:hAnsi="Arial" w:eastAsia="黑体"/>
      <w:b/>
      <w:bCs/>
      <w:sz w:val="32"/>
      <w:szCs w:val="32"/>
    </w:rPr>
  </w:style>
  <w:style w:type="character" w:styleId="1324" w:customStyle="1">
    <w:name w:val="标题 2 Char_0_0"/>
    <w:link w:val="1323"/>
    <w:uiPriority w:val="0"/>
    <w:qFormat/>
    <w:rPr>
      <w:rFonts w:ascii="Arial" w:hAnsi="Arial" w:eastAsia="黑体" w:cs="Times New Roman"/>
      <w:b/>
      <w:bCs/>
      <w:sz w:val="32"/>
      <w:szCs w:val="32"/>
    </w:rPr>
  </w:style>
  <w:style w:type="paragraph" w:styleId="1325" w:customStyle="1">
    <w:name w:val="样式11_0_0"/>
    <w:basedOn w:val="1321"/>
    <w:link w:val="1326"/>
    <w:uiPriority w:val="0"/>
    <w:qFormat/>
    <w:pPr>
      <w:ind w:hanging="420"/>
      <w:spacing w:line="360" w:lineRule="exact"/>
      <w:outlineLvl w:val="2"/>
    </w:pPr>
    <w:rPr>
      <w:rFonts w:ascii="黑体" w:hAnsi="宋体" w:eastAsia="黑体"/>
      <w:szCs w:val="21"/>
    </w:rPr>
  </w:style>
  <w:style w:type="character" w:styleId="1326" w:customStyle="1">
    <w:name w:val="样式11 Char_0_0"/>
    <w:link w:val="1325"/>
    <w:uiPriority w:val="0"/>
    <w:qFormat/>
    <w:rPr>
      <w:rFonts w:ascii="黑体" w:hAnsi="宋体" w:eastAsia="黑体" w:cs="Times New Roman"/>
      <w:sz w:val="20"/>
      <w:szCs w:val="21"/>
    </w:rPr>
  </w:style>
  <w:style w:type="paragraph" w:styleId="1327" w:customStyle="1">
    <w:name w:val="正文_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8"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329" w:customStyle="1">
    <w:name w:val="正文_1_0"/>
    <w:basedOn w:val="1330"/>
    <w:uiPriority w:val="0"/>
    <w:qFormat/>
    <w:rPr>
      <w:rFonts w:eastAsia="Times New Roman"/>
      <w:sz w:val="24"/>
      <w:szCs w:val="24"/>
    </w:rPr>
  </w:style>
  <w:style w:type="paragraph" w:styleId="1330" w:customStyle="1">
    <w:name w:val="Normal_0_0"/>
    <w:uiPriority w:val="0"/>
    <w:qFormat/>
    <w:pPr>
      <w:jc w:val="both"/>
      <w:widowControl w:val="off"/>
    </w:pPr>
    <w:rPr>
      <w:rFonts w:hint="default" w:ascii="Calibri" w:hAnsi="Calibri" w:eastAsia="宋体" w:cs="宋体"/>
      <w:szCs w:val="21"/>
      <w:lang w:val="en-US" w:eastAsia="zh-CN" w:bidi="ar-SA"/>
    </w:rPr>
  </w:style>
  <w:style w:type="paragraph" w:styleId="1331" w:customStyle="1">
    <w:name w:val="正文文本_0_0_0"/>
    <w:basedOn w:val="1329"/>
    <w:uiPriority w:val="0"/>
    <w:qFormat/>
    <w:pPr>
      <w:tabs>
        <w:tab w:val="left" w:pos="5250" w:leader="none"/>
      </w:tabs>
    </w:pPr>
    <w:rPr>
      <w:rFonts w:ascii="Times New Roman" w:hAnsi="Times New Roman" w:eastAsia="宋体" w:cs="Times New Roman"/>
      <w:sz w:val="28"/>
      <w:szCs w:val="20"/>
    </w:rPr>
  </w:style>
  <w:style w:type="table" w:styleId="1332" w:customStyle="1">
    <w:name w:val="Table Normal"/>
    <w:uiPriority w:val="2"/>
    <w:unhideWhenUsed/>
    <w:qFormat/>
    <w:tblPr/>
  </w:style>
  <w:style w:type="paragraph" w:styleId="1333" w:customStyle="1">
    <w:name w:val="正文文本1"/>
    <w:basedOn w:val="870"/>
    <w:next w:val="1334"/>
    <w:uiPriority w:val="0"/>
    <w:qFormat/>
    <w:rPr>
      <w:rFonts w:ascii="华文中宋" w:eastAsia="华文中宋"/>
      <w:bCs/>
      <w:sz w:val="28"/>
      <w:szCs w:val="20"/>
    </w:rPr>
  </w:style>
  <w:style w:type="paragraph" w:styleId="1334" w:customStyle="1">
    <w:name w:val="目录 21"/>
    <w:basedOn w:val="870"/>
    <w:next w:val="870"/>
    <w:uiPriority w:val="39"/>
    <w:unhideWhenUsed/>
    <w:qFormat/>
    <w:pPr>
      <w:ind w:left="420"/>
    </w:pPr>
  </w:style>
  <w:style w:type="paragraph" w:styleId="1335" w:customStyle="1">
    <w:name w:val="正文_5"/>
    <w:uiPriority w:val="0"/>
    <w:qFormat/>
    <w:pPr>
      <w:jc w:val="both"/>
      <w:widowControl w:val="off"/>
    </w:pPr>
    <w:rPr>
      <w:rFonts w:hint="default" w:ascii="Calibri" w:hAnsi="Calibri" w:eastAsia="宋体" w:cs="Times New Roman"/>
      <w:lang w:val="en-US" w:eastAsia="zh-CN" w:bidi="ar-SA"/>
    </w:rPr>
  </w:style>
  <w:style w:type="paragraph" w:styleId="1336" w:customStyle="1">
    <w:name w:val="Table Text"/>
    <w:basedOn w:val="870"/>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337" w:customStyle="1">
    <w:name w:val="普通(网站)1"/>
    <w:basedOn w:val="870"/>
    <w:uiPriority w:val="99"/>
    <w:unhideWhenUsed/>
    <w:qFormat/>
    <w:pPr>
      <w:jc w:val="left"/>
      <w:spacing w:beforeAutospacing="1" w:afterAutospacing="1"/>
    </w:pPr>
    <w:rPr>
      <w:sz w:val="24"/>
    </w:rPr>
  </w:style>
  <w:style w:type="paragraph" w:styleId="1338" w:customStyle="1">
    <w:name w:val="正文缩进11"/>
    <w:basedOn w:val="870"/>
    <w:next w:val="870"/>
    <w:uiPriority w:val="99"/>
    <w:qFormat/>
    <w:pPr>
      <w:ind w:firstLine="420"/>
    </w:pPr>
    <w:rPr>
      <w:sz w:val="21"/>
      <w:szCs w:val="21"/>
    </w:rPr>
  </w:style>
  <w:style w:type="paragraph" w:styleId="1339" w:customStyle="1">
    <w:name w:val="正文首行缩进1"/>
    <w:basedOn w:val="1333"/>
    <w:uiPriority w:val="0"/>
    <w:qFormat/>
    <w:pPr>
      <w:ind w:firstLine="420"/>
      <w:spacing w:after="120"/>
    </w:pPr>
    <w:rPr>
      <w:rFonts w:ascii="Times New Roman" w:eastAsia="宋体"/>
      <w:bCs w:val="0"/>
      <w:sz w:val="21"/>
      <w:szCs w:val="24"/>
    </w:rPr>
  </w:style>
  <w:style w:type="paragraph" w:styleId="1340" w:customStyle="1">
    <w:name w:val="批注文字2"/>
    <w:basedOn w:val="870"/>
    <w:uiPriority w:val="0"/>
    <w:qFormat/>
    <w:pPr>
      <w:jc w:val="left"/>
    </w:pPr>
    <w:rPr>
      <w:sz w:val="24"/>
    </w:rPr>
  </w:style>
  <w:style w:type="paragraph" w:styleId="1341" w:customStyle="1">
    <w:name w:val="标题 4_0_0"/>
    <w:basedOn w:val="1329"/>
    <w:next w:val="1329"/>
    <w:uiPriority w:val="0"/>
    <w:qFormat/>
    <w:pPr>
      <w:keepLines/>
      <w:keepNext/>
      <w:spacing w:before="280" w:after="290" w:line="372" w:lineRule="auto"/>
      <w:outlineLvl w:val="3"/>
    </w:pPr>
    <w:rPr>
      <w:rFonts w:ascii="Arial" w:hAnsi="Arial" w:eastAsia="黑体"/>
      <w:b/>
      <w:sz w:val="28"/>
    </w:rPr>
  </w:style>
  <w:style w:type="paragraph" w:styleId="1342" w:customStyle="1">
    <w:name w:val="正文_1_0_0"/>
    <w:uiPriority w:val="0"/>
    <w:qFormat/>
    <w:pPr>
      <w:jc w:val="both"/>
      <w:widowControl w:val="off"/>
    </w:pPr>
    <w:rPr>
      <w:rFonts w:hint="default" w:ascii="Times New Roman" w:hAnsi="Times New Roman" w:eastAsia="宋体" w:cs="Times New Roman"/>
      <w:lang w:val="en-US" w:eastAsia="zh-CN" w:bidi="ar-SA"/>
    </w:rPr>
  </w:style>
  <w:style w:type="paragraph" w:styleId="1343" w:customStyle="1">
    <w:name w:val="正文_1_1"/>
    <w:uiPriority w:val="0"/>
    <w:qFormat/>
    <w:pPr>
      <w:jc w:val="both"/>
      <w:widowControl w:val="off"/>
    </w:pPr>
    <w:rPr>
      <w:rFonts w:hint="default" w:ascii="Times New Roman" w:hAnsi="Times New Roman" w:eastAsia="宋体" w:cs="Times New Roman"/>
      <w:lang w:val="en-US" w:eastAsia="zh-CN" w:bidi="ar-SA"/>
    </w:rPr>
  </w:style>
  <w:style w:type="paragraph" w:styleId="1344" w:customStyle="1">
    <w:name w:val="正文文本_0_0"/>
    <w:basedOn w:val="1343"/>
    <w:uiPriority w:val="0"/>
    <w:qFormat/>
    <w:pPr>
      <w:tabs>
        <w:tab w:val="left" w:pos="5250" w:leader="none"/>
      </w:tabs>
    </w:pPr>
    <w:rPr>
      <w:rFonts w:ascii="Times New Roman" w:hAnsi="Times New Roman"/>
      <w:sz w:val="28"/>
    </w:rPr>
  </w:style>
  <w:style w:type="character" w:styleId="1345" w:customStyle="1">
    <w:name w:val="active15"/>
    <w:basedOn w:val="880"/>
    <w:uiPriority w:val="0"/>
    <w:qFormat/>
    <w:rPr>
      <w:color w:val="ffffff"/>
      <w:shd w:val="clear" w:color="auto" w:fill="0f5bb9"/>
    </w:rPr>
  </w:style>
  <w:style w:type="character" w:styleId="1346" w:customStyle="1">
    <w:name w:val="active"/>
    <w:basedOn w:val="880"/>
    <w:uiPriority w:val="0"/>
    <w:qFormat/>
    <w:rPr>
      <w:color w:val="ffffff"/>
      <w:shd w:val="clear" w:color="auto" w:fill="0f5bb9"/>
    </w:rPr>
  </w:style>
  <w:style w:type="character" w:styleId="1347" w:customStyle="1">
    <w:name w:val="active16"/>
    <w:basedOn w:val="880"/>
    <w:uiPriority w:val="0"/>
    <w:qFormat/>
    <w:rPr>
      <w:color w:val="ffffff"/>
      <w:shd w:val="clear" w:color="auto" w:fill="0f5bb9"/>
    </w:rPr>
  </w:style>
  <w:style w:type="paragraph" w:styleId="1348"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numbering" w:styleId="296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在河</dc:creator>
  <cp:lastModifiedBy>李扬</cp:lastModifiedBy>
  <cp:revision>5</cp:revision>
  <dcterms:created xsi:type="dcterms:W3CDTF">2023-03-30T05:56:00Z</dcterms:created>
  <dcterms:modified xsi:type="dcterms:W3CDTF">2025-12-30T03:22:39Z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eyJoZGlkIjoiNzBmNDY0MjAzMTZlODJlZGY0ZDAxZDI4YmMzNWRiZWUiLCJ1c2VySWQiOiIyNTI3NzczODQifQ==</vt:lpwstr>
  </property>
  <property fmtid="{D5CDD505-2E9C-101B-9397-08002B2CF9AE}" pid="3" name="KSOProductBuildVer">
    <vt:lpwstr>2052-12.1.0.24657</vt:lpwstr>
  </property>
  <property fmtid="{D5CDD505-2E9C-101B-9397-08002B2CF9AE}" pid="4" name="ICV">
    <vt:lpwstr>0E6FCA17A2CC45469467BC7BE41A6D23_13</vt:lpwstr>
  </property>
</Properties>
</file>